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12C9" w14:textId="77777777" w:rsidR="00DB6AB6" w:rsidRPr="00DB6AB6" w:rsidRDefault="00DB6AB6">
      <w:pPr>
        <w:rPr>
          <w:lang w:val="en-US"/>
        </w:rPr>
      </w:pPr>
      <w:r w:rsidRPr="00DB6AB6">
        <w:rPr>
          <w:noProof/>
          <w:lang w:val="en-US"/>
        </w:rPr>
        <w:t xml:space="preserve"> </w:t>
      </w:r>
    </w:p>
    <w:tbl>
      <w:tblPr>
        <w:tblpPr w:leftFromText="141" w:rightFromText="141" w:bottomFromText="70" w:vertAnchor="text"/>
        <w:tblW w:w="9262" w:type="dxa"/>
        <w:shd w:val="clear" w:color="auto" w:fill="F1F1F1"/>
        <w:tblCellMar>
          <w:left w:w="0" w:type="dxa"/>
          <w:right w:w="0" w:type="dxa"/>
        </w:tblCellMar>
        <w:tblLook w:val="04A0" w:firstRow="1" w:lastRow="0" w:firstColumn="1" w:lastColumn="0" w:noHBand="0" w:noVBand="1"/>
      </w:tblPr>
      <w:tblGrid>
        <w:gridCol w:w="9026"/>
        <w:gridCol w:w="236"/>
      </w:tblGrid>
      <w:tr w:rsidR="00DB6AB6" w14:paraId="231B1F7D" w14:textId="77777777" w:rsidTr="004D270B">
        <w:trPr>
          <w:gridAfter w:val="1"/>
          <w:wAfter w:w="236" w:type="dxa"/>
        </w:trPr>
        <w:tc>
          <w:tcPr>
            <w:tcW w:w="9026" w:type="dxa"/>
            <w:shd w:val="clear" w:color="auto" w:fill="F1F1F1"/>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DB6AB6" w14:paraId="329377F2" w14:textId="77777777">
              <w:trPr>
                <w:jc w:val="center"/>
              </w:trPr>
              <w:tc>
                <w:tcPr>
                  <w:tcW w:w="0" w:type="auto"/>
                  <w:vAlign w:val="center"/>
                  <w:hideMark/>
                </w:tcPr>
                <w:tbl>
                  <w:tblPr>
                    <w:tblW w:w="0" w:type="auto"/>
                    <w:tblCellMar>
                      <w:left w:w="0" w:type="dxa"/>
                      <w:right w:w="0" w:type="dxa"/>
                    </w:tblCellMar>
                    <w:tblLook w:val="04A0" w:firstRow="1" w:lastRow="0" w:firstColumn="1" w:lastColumn="0" w:noHBand="0" w:noVBand="1"/>
                  </w:tblPr>
                  <w:tblGrid>
                    <w:gridCol w:w="8504"/>
                  </w:tblGrid>
                  <w:tr w:rsidR="00DB6AB6" w14:paraId="53E1E874" w14:textId="77777777">
                    <w:tc>
                      <w:tcPr>
                        <w:tcW w:w="0" w:type="auto"/>
                        <w:vAlign w:val="center"/>
                        <w:hideMark/>
                      </w:tcPr>
                      <w:p w14:paraId="4C863667" w14:textId="6676B915" w:rsidR="00DB6AB6" w:rsidRDefault="00DB6AB6" w:rsidP="00CB6A28">
                        <w:pPr>
                          <w:framePr w:hSpace="141" w:wrap="around" w:vAnchor="text" w:hAnchor="text"/>
                          <w:spacing w:line="300" w:lineRule="atLeast"/>
                          <w:jc w:val="both"/>
                          <w:rPr>
                            <w:rFonts w:ascii="Segoe UI" w:hAnsi="Segoe UI" w:cs="Segoe UI"/>
                            <w:color w:val="878787"/>
                            <w:sz w:val="18"/>
                            <w:szCs w:val="18"/>
                            <w14:ligatures w14:val="none"/>
                          </w:rPr>
                        </w:pPr>
                        <w:r>
                          <w:rPr>
                            <w:rFonts w:ascii="Segoe UI" w:hAnsi="Segoe UI" w:cs="Segoe UI"/>
                            <w:noProof/>
                            <w:color w:val="878787"/>
                            <w:sz w:val="18"/>
                            <w:szCs w:val="18"/>
                            <w14:ligatures w14:val="none"/>
                          </w:rPr>
                          <w:drawing>
                            <wp:inline distT="0" distB="0" distL="0" distR="0" wp14:anchorId="54188A80" wp14:editId="549B5773">
                              <wp:extent cx="5400040" cy="2561590"/>
                              <wp:effectExtent l="0" t="0" r="0" b="0"/>
                              <wp:docPr id="1696664839" name="Imagem 6" descr="banner for: European Child Guarantee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 for: European Child Guarantee Newslette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400040" cy="2561590"/>
                                      </a:xfrm>
                                      <a:prstGeom prst="rect">
                                        <a:avLst/>
                                      </a:prstGeom>
                                      <a:noFill/>
                                      <a:ln>
                                        <a:noFill/>
                                      </a:ln>
                                    </pic:spPr>
                                  </pic:pic>
                                </a:graphicData>
                              </a:graphic>
                            </wp:inline>
                          </w:drawing>
                        </w:r>
                      </w:p>
                    </w:tc>
                  </w:tr>
                </w:tbl>
                <w:p w14:paraId="1C9F9E95" w14:textId="77777777" w:rsidR="00DB6AB6" w:rsidRDefault="00DB6AB6" w:rsidP="00CB6A28">
                  <w:pPr>
                    <w:framePr w:hSpace="141" w:wrap="around" w:vAnchor="text" w:hAnchor="text"/>
                    <w:rPr>
                      <w:rFonts w:ascii="Times New Roman" w:eastAsia="Times New Roman" w:hAnsi="Times New Roman" w:cs="Times New Roman"/>
                      <w:sz w:val="20"/>
                      <w:szCs w:val="20"/>
                      <w:lang w:eastAsia="pt-PT"/>
                      <w14:ligatures w14:val="none"/>
                    </w:rPr>
                  </w:pPr>
                </w:p>
              </w:tc>
            </w:tr>
          </w:tbl>
          <w:p w14:paraId="5E6D5322" w14:textId="77777777" w:rsidR="00DB6AB6" w:rsidRDefault="00DB6AB6" w:rsidP="00CB6A28">
            <w:pPr>
              <w:jc w:val="center"/>
              <w:rPr>
                <w:rFonts w:ascii="Times New Roman" w:eastAsia="Times New Roman" w:hAnsi="Times New Roman" w:cs="Times New Roman"/>
                <w:sz w:val="20"/>
                <w:szCs w:val="20"/>
                <w:lang w:eastAsia="pt-PT"/>
                <w14:ligatures w14:val="none"/>
              </w:rPr>
            </w:pPr>
          </w:p>
        </w:tc>
      </w:tr>
      <w:tr w:rsidR="00DB6AB6" w14:paraId="575E4029" w14:textId="77777777" w:rsidTr="004D270B">
        <w:trPr>
          <w:gridAfter w:val="1"/>
          <w:wAfter w:w="236" w:type="dxa"/>
        </w:trPr>
        <w:tc>
          <w:tcPr>
            <w:tcW w:w="9026" w:type="dxa"/>
            <w:shd w:val="clear" w:color="auto" w:fill="F1F1F1"/>
            <w:vAlign w:val="center"/>
            <w:hideMark/>
          </w:tcPr>
          <w:p w14:paraId="6293B39C" w14:textId="77777777" w:rsidR="00DB6AB6" w:rsidRDefault="00DB6AB6" w:rsidP="00CB6A28">
            <w:pPr>
              <w:rPr>
                <w:rFonts w:ascii="Times New Roman" w:eastAsia="Times New Roman" w:hAnsi="Times New Roman" w:cs="Times New Roman"/>
                <w:sz w:val="20"/>
                <w:szCs w:val="20"/>
                <w:lang w:eastAsia="pt-PT"/>
                <w14:ligatures w14:val="none"/>
              </w:rPr>
            </w:pPr>
          </w:p>
        </w:tc>
      </w:tr>
      <w:tr w:rsidR="00DB6AB6" w:rsidRPr="00DB6AB6" w14:paraId="33FD41B3" w14:textId="77777777" w:rsidTr="004D270B">
        <w:trPr>
          <w:gridAfter w:val="1"/>
          <w:wAfter w:w="236" w:type="dxa"/>
        </w:trPr>
        <w:tc>
          <w:tcPr>
            <w:tcW w:w="9026" w:type="dxa"/>
            <w:shd w:val="clear" w:color="auto" w:fill="0065A2"/>
            <w:tcMar>
              <w:top w:w="405" w:type="dxa"/>
              <w:left w:w="300" w:type="dxa"/>
              <w:bottom w:w="150" w:type="dxa"/>
              <w:right w:w="300" w:type="dxa"/>
            </w:tcMar>
            <w:vAlign w:val="center"/>
            <w:hideMark/>
          </w:tcPr>
          <w:p w14:paraId="55D05297" w14:textId="77777777" w:rsidR="00DB6AB6" w:rsidRDefault="00DB6AB6" w:rsidP="00CB6A28">
            <w:pPr>
              <w:jc w:val="center"/>
              <w:rPr>
                <w:rFonts w:ascii="Segoe UI Light" w:hAnsi="Segoe UI Light" w:cs="Segoe UI Light"/>
                <w:color w:val="878787"/>
                <w:sz w:val="30"/>
                <w:szCs w:val="30"/>
                <w:lang w:val="en-GB"/>
                <w14:ligatures w14:val="none"/>
              </w:rPr>
            </w:pPr>
            <w:r>
              <w:rPr>
                <w:rFonts w:ascii="Segoe UI" w:hAnsi="Segoe UI" w:cs="Segoe UI"/>
                <w:color w:val="FFFFFF"/>
                <w:sz w:val="30"/>
                <w:szCs w:val="30"/>
                <w:lang w:val="en-GB"/>
                <w14:ligatures w14:val="none"/>
              </w:rPr>
              <w:t xml:space="preserve">European Child Guarantee Newsletter </w:t>
            </w:r>
            <w:r>
              <w:rPr>
                <w:rFonts w:ascii="Segoe UI" w:hAnsi="Segoe UI" w:cs="Segoe UI"/>
                <w:color w:val="FFFFFF"/>
                <w:sz w:val="30"/>
                <w:szCs w:val="30"/>
                <w:lang w:val="en-IE"/>
                <w14:ligatures w14:val="none"/>
              </w:rPr>
              <w:t>– No. 9</w:t>
            </w:r>
          </w:p>
        </w:tc>
      </w:tr>
      <w:tr w:rsidR="00DB6AB6" w14:paraId="0D8B32B6" w14:textId="77777777" w:rsidTr="004D270B">
        <w:tc>
          <w:tcPr>
            <w:tcW w:w="9262" w:type="dxa"/>
            <w:gridSpan w:val="2"/>
            <w:shd w:val="clear" w:color="auto" w:fill="ECEBEB"/>
            <w:hideMark/>
          </w:tcPr>
          <w:tbl>
            <w:tblPr>
              <w:tblW w:w="9000" w:type="dxa"/>
              <w:jc w:val="center"/>
              <w:shd w:val="clear" w:color="auto" w:fill="ECEBEB"/>
              <w:tblCellMar>
                <w:left w:w="0" w:type="dxa"/>
                <w:right w:w="0" w:type="dxa"/>
              </w:tblCellMar>
              <w:tblLook w:val="04A0" w:firstRow="1" w:lastRow="0" w:firstColumn="1" w:lastColumn="0" w:noHBand="0" w:noVBand="1"/>
            </w:tblPr>
            <w:tblGrid>
              <w:gridCol w:w="9262"/>
            </w:tblGrid>
            <w:tr w:rsidR="00DB6AB6" w14:paraId="050E9EB6" w14:textId="77777777">
              <w:trPr>
                <w:jc w:val="center"/>
              </w:trPr>
              <w:tc>
                <w:tcPr>
                  <w:tcW w:w="9000" w:type="dxa"/>
                  <w:shd w:val="clear" w:color="auto" w:fill="ECEBEB"/>
                  <w:vAlign w:val="center"/>
                  <w:hideMark/>
                </w:tcPr>
                <w:tbl>
                  <w:tblPr>
                    <w:tblW w:w="9262" w:type="dxa"/>
                    <w:jc w:val="center"/>
                    <w:shd w:val="clear" w:color="auto" w:fill="FFFFFF"/>
                    <w:tblCellMar>
                      <w:left w:w="0" w:type="dxa"/>
                      <w:right w:w="0" w:type="dxa"/>
                    </w:tblCellMar>
                    <w:tblLook w:val="04A0" w:firstRow="1" w:lastRow="0" w:firstColumn="1" w:lastColumn="0" w:noHBand="0" w:noVBand="1"/>
                  </w:tblPr>
                  <w:tblGrid>
                    <w:gridCol w:w="9262"/>
                  </w:tblGrid>
                  <w:tr w:rsidR="00DB6AB6" w14:paraId="27AB3D2C" w14:textId="77777777" w:rsidTr="00DB6AB6">
                    <w:trPr>
                      <w:trHeight w:val="300"/>
                      <w:jc w:val="center"/>
                    </w:trPr>
                    <w:tc>
                      <w:tcPr>
                        <w:tcW w:w="0" w:type="auto"/>
                        <w:shd w:val="clear" w:color="auto" w:fill="FFFFFF"/>
                        <w:vAlign w:val="center"/>
                        <w:hideMark/>
                      </w:tcPr>
                      <w:p w14:paraId="6176DA8D" w14:textId="39360E2B" w:rsidR="00DB6AB6" w:rsidRDefault="00DB6AB6" w:rsidP="00CB6A28">
                        <w:pPr>
                          <w:framePr w:hSpace="141" w:wrap="around" w:vAnchor="text" w:hAnchor="text"/>
                          <w:spacing w:line="0" w:lineRule="atLeast"/>
                          <w:jc w:val="both"/>
                          <w:rPr>
                            <w:rFonts w:ascii="Arial" w:hAnsi="Arial" w:cs="Arial"/>
                            <w:color w:val="878787"/>
                            <w14:ligatures w14:val="none"/>
                          </w:rPr>
                        </w:pPr>
                        <w:r>
                          <w:rPr>
                            <w:rFonts w:ascii="Arial" w:hAnsi="Arial" w:cs="Arial"/>
                            <w:noProof/>
                            <w:color w:val="878787"/>
                            <w14:ligatures w14:val="none"/>
                          </w:rPr>
                          <w:drawing>
                            <wp:inline distT="0" distB="0" distL="0" distR="0" wp14:anchorId="7772C5C9" wp14:editId="61C0B6EA">
                              <wp:extent cx="10795" cy="10795"/>
                              <wp:effectExtent l="0" t="0" r="0" b="0"/>
                              <wp:docPr id="44915538" name="Imagem 8" descr="https://ec.europa.eu/newsroom/img/newsletter/generi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c.europa.eu/newsroom/img/newsletter/generic/spacer.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r>
                  <w:tr w:rsidR="00DB6AB6" w14:paraId="6792ACED" w14:textId="77777777" w:rsidTr="00DB6AB6">
                    <w:trPr>
                      <w:jc w:val="center"/>
                    </w:trPr>
                    <w:tc>
                      <w:tcPr>
                        <w:tcW w:w="0" w:type="auto"/>
                        <w:shd w:val="clear" w:color="auto" w:fill="FFFFFF"/>
                        <w:tcMar>
                          <w:top w:w="150" w:type="dxa"/>
                          <w:left w:w="300" w:type="dxa"/>
                          <w:bottom w:w="105" w:type="dxa"/>
                          <w:right w:w="300" w:type="dxa"/>
                        </w:tcMar>
                        <w:vAlign w:val="center"/>
                        <w:hideMark/>
                      </w:tcPr>
                      <w:p w14:paraId="6F5694AD" w14:textId="77777777" w:rsidR="00DB6AB6" w:rsidRDefault="00DB6AB6" w:rsidP="00CB6A28">
                        <w:pPr>
                          <w:framePr w:hSpace="141" w:wrap="around" w:vAnchor="text" w:hAnchor="text"/>
                          <w:rPr>
                            <w:rFonts w:ascii="Arial" w:hAnsi="Arial" w:cs="Arial"/>
                            <w:color w:val="878787"/>
                            <w14:ligatures w14:val="none"/>
                          </w:rPr>
                        </w:pPr>
                      </w:p>
                    </w:tc>
                  </w:tr>
                  <w:tr w:rsidR="00DB6AB6" w:rsidRPr="00DB6AB6" w14:paraId="2D819AFB" w14:textId="77777777" w:rsidTr="00DB6AB6">
                    <w:trPr>
                      <w:jc w:val="center"/>
                    </w:trPr>
                    <w:tc>
                      <w:tcPr>
                        <w:tcW w:w="5000" w:type="pct"/>
                        <w:shd w:val="clear" w:color="auto" w:fill="FFFFFF"/>
                        <w:tcMar>
                          <w:top w:w="60" w:type="dxa"/>
                          <w:left w:w="300" w:type="dxa"/>
                          <w:bottom w:w="120" w:type="dxa"/>
                          <w:right w:w="300" w:type="dxa"/>
                        </w:tcMar>
                        <w:hideMark/>
                      </w:tcPr>
                      <w:tbl>
                        <w:tblPr>
                          <w:tblW w:w="5000" w:type="pct"/>
                          <w:jc w:val="center"/>
                          <w:tblCellMar>
                            <w:left w:w="0" w:type="dxa"/>
                            <w:right w:w="0" w:type="dxa"/>
                          </w:tblCellMar>
                          <w:tblLook w:val="04A0" w:firstRow="1" w:lastRow="0" w:firstColumn="1" w:lastColumn="0" w:noHBand="0" w:noVBand="1"/>
                        </w:tblPr>
                        <w:tblGrid>
                          <w:gridCol w:w="8662"/>
                        </w:tblGrid>
                        <w:tr w:rsidR="00DB6AB6" w:rsidRPr="00DB6AB6" w14:paraId="63E083C5"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656"/>
                                <w:gridCol w:w="6"/>
                              </w:tblGrid>
                              <w:tr w:rsidR="00DB6AB6" w:rsidRPr="00DB6AB6" w14:paraId="3D4B373D" w14:textId="77777777">
                                <w:tc>
                                  <w:tcPr>
                                    <w:tcW w:w="3050" w:type="pct"/>
                                    <w:hideMark/>
                                  </w:tcPr>
                                  <w:tbl>
                                    <w:tblPr>
                                      <w:tblW w:w="8656" w:type="dxa"/>
                                      <w:tblCellMar>
                                        <w:left w:w="0" w:type="dxa"/>
                                        <w:right w:w="0" w:type="dxa"/>
                                      </w:tblCellMar>
                                      <w:tblLook w:val="04A0" w:firstRow="1" w:lastRow="0" w:firstColumn="1" w:lastColumn="0" w:noHBand="0" w:noVBand="1"/>
                                    </w:tblPr>
                                    <w:tblGrid>
                                      <w:gridCol w:w="8656"/>
                                    </w:tblGrid>
                                    <w:tr w:rsidR="00DB6AB6" w:rsidRPr="00DB6AB6" w14:paraId="11C6464D" w14:textId="77777777">
                                      <w:trPr>
                                        <w:trHeight w:val="3617"/>
                                      </w:trPr>
                                      <w:tc>
                                        <w:tcPr>
                                          <w:tcW w:w="0" w:type="auto"/>
                                          <w:tcMar>
                                            <w:top w:w="0" w:type="dxa"/>
                                            <w:left w:w="0" w:type="dxa"/>
                                            <w:bottom w:w="0" w:type="dxa"/>
                                            <w:right w:w="300" w:type="dxa"/>
                                          </w:tcMar>
                                          <w:vAlign w:val="center"/>
                                          <w:hideMark/>
                                        </w:tcPr>
                                        <w:p w14:paraId="0100F883" w14:textId="77777777" w:rsidR="00DB6AB6" w:rsidRDefault="00DB6AB6" w:rsidP="00CB6A28">
                                          <w:pPr>
                                            <w:framePr w:hSpace="141" w:wrap="around" w:vAnchor="text" w:hAnchor="text"/>
                                            <w:spacing w:after="120"/>
                                            <w:ind w:right="301"/>
                                            <w:jc w:val="both"/>
                                            <w:rPr>
                                              <w:rFonts w:ascii="Segoe UI" w:hAnsi="Segoe UI" w:cs="Segoe UI"/>
                                              <w:i/>
                                              <w:iCs/>
                                              <w:lang w:val="en-GB"/>
                                              <w14:ligatures w14:val="none"/>
                                            </w:rPr>
                                          </w:pPr>
                                          <w:r>
                                            <w:rPr>
                                              <w:rFonts w:ascii="Segoe UI" w:hAnsi="Segoe UI" w:cs="Segoe UI"/>
                                              <w:i/>
                                              <w:iCs/>
                                              <w:lang w:val="en-GB"/>
                                              <w14:ligatures w14:val="none"/>
                                            </w:rPr>
                                            <w:t xml:space="preserve">Dear reader, </w:t>
                                          </w:r>
                                        </w:p>
                                        <w:p w14:paraId="1D4A6919" w14:textId="77777777" w:rsidR="00DB6AB6" w:rsidRDefault="00DB6AB6" w:rsidP="00CB6A28">
                                          <w:pPr>
                                            <w:framePr w:hSpace="141" w:wrap="around" w:vAnchor="text" w:hAnchor="text"/>
                                            <w:spacing w:after="120"/>
                                            <w:ind w:right="301"/>
                                            <w:jc w:val="both"/>
                                            <w:rPr>
                                              <w:rFonts w:ascii="Segoe UI" w:hAnsi="Segoe UI" w:cs="Segoe UI"/>
                                              <w:i/>
                                              <w:iCs/>
                                              <w:lang w:val="en-IE"/>
                                              <w14:ligatures w14:val="none"/>
                                            </w:rPr>
                                          </w:pPr>
                                          <w:r>
                                            <w:rPr>
                                              <w:rFonts w:ascii="Segoe UI" w:hAnsi="Segoe UI" w:cs="Segoe UI"/>
                                              <w:i/>
                                              <w:iCs/>
                                              <w:lang w:val="en-IE"/>
                                              <w14:ligatures w14:val="none"/>
                                            </w:rPr>
                                            <w:t xml:space="preserve">The </w:t>
                                          </w:r>
                                          <w:hyperlink r:id="rId10" w:history="1">
                                            <w:r>
                                              <w:rPr>
                                                <w:rStyle w:val="Hiperligao"/>
                                                <w:rFonts w:ascii="Segoe UI" w:hAnsi="Segoe UI" w:cs="Segoe UI"/>
                                                <w:i/>
                                                <w:iCs/>
                                                <w:color w:val="0000FF"/>
                                                <w:lang w:val="en-IE"/>
                                                <w14:ligatures w14:val="none"/>
                                              </w:rPr>
                                              <w:t>2026 Commission work programme</w:t>
                                            </w:r>
                                          </w:hyperlink>
                                          <w:r w:rsidRPr="00DB6AB6">
                                            <w:rPr>
                                              <w:rFonts w:ascii="Segoe UI" w:hAnsi="Segoe UI" w:cs="Segoe UI"/>
                                              <w:i/>
                                              <w:iCs/>
                                              <w:lang w:val="en-US"/>
                                              <w14:ligatures w14:val="none"/>
                                            </w:rPr>
                                            <w:t xml:space="preserve"> </w:t>
                                          </w:r>
                                          <w:r>
                                            <w:rPr>
                                              <w:rFonts w:ascii="Segoe UI" w:hAnsi="Segoe UI" w:cs="Segoe UI"/>
                                              <w:i/>
                                              <w:iCs/>
                                              <w:lang w:val="en-IE"/>
                                              <w14:ligatures w14:val="none"/>
                                            </w:rPr>
                                            <w:t>published on 21 October sets out key strategies, action plans and legislative initiatives that will lay the foundation for the work ahead and help deliver on the ambition to build a strong, secure, and prosperous Europe. You will surely notice the strong focus put on delivering on the </w:t>
                                          </w:r>
                                          <w:hyperlink r:id="rId11" w:history="1">
                                            <w:r>
                                              <w:rPr>
                                                <w:rStyle w:val="Hiperligao"/>
                                                <w:rFonts w:ascii="Segoe UI" w:hAnsi="Segoe UI" w:cs="Segoe UI"/>
                                                <w:i/>
                                                <w:iCs/>
                                                <w:color w:val="0000FF"/>
                                                <w:lang w:val="en-IE"/>
                                                <w14:ligatures w14:val="none"/>
                                              </w:rPr>
                                              <w:t>Political Guidelines</w:t>
                                            </w:r>
                                          </w:hyperlink>
                                          <w:r>
                                            <w:rPr>
                                              <w:rFonts w:ascii="Segoe UI" w:hAnsi="Segoe UI" w:cs="Segoe UI"/>
                                              <w:i/>
                                              <w:iCs/>
                                              <w:lang w:val="en-IE"/>
                                              <w14:ligatures w14:val="none"/>
                                            </w:rPr>
                                            <w:t xml:space="preserve"> of the current Commission, in particular through the first ever EU Anti-Poverty Strategy and a </w:t>
                                          </w:r>
                                          <w:r>
                                            <w:rPr>
                                              <w:rFonts w:ascii="Segoe UI" w:hAnsi="Segoe UI" w:cs="Segoe UI"/>
                                              <w:b/>
                                              <w:bCs/>
                                              <w:i/>
                                              <w:iCs/>
                                              <w:lang w:val="en-IE"/>
                                              <w14:ligatures w14:val="none"/>
                                            </w:rPr>
                                            <w:t>strengthened European Child Guarantee</w:t>
                                          </w:r>
                                          <w:r>
                                            <w:rPr>
                                              <w:rFonts w:ascii="Segoe UI" w:hAnsi="Segoe UI" w:cs="Segoe UI"/>
                                              <w:i/>
                                              <w:iCs/>
                                              <w:lang w:val="en-IE"/>
                                              <w14:ligatures w14:val="none"/>
                                            </w:rPr>
                                            <w:t>.</w:t>
                                          </w:r>
                                        </w:p>
                                        <w:p w14:paraId="4AAE9DB4" w14:textId="77777777" w:rsidR="00DB6AB6" w:rsidRDefault="00DB6AB6" w:rsidP="00CB6A28">
                                          <w:pPr>
                                            <w:framePr w:hSpace="141" w:wrap="around" w:vAnchor="text" w:hAnchor="text"/>
                                            <w:spacing w:after="120"/>
                                            <w:ind w:right="301"/>
                                            <w:jc w:val="both"/>
                                            <w:rPr>
                                              <w:rFonts w:ascii="Segoe UI" w:hAnsi="Segoe UI" w:cs="Segoe UI"/>
                                              <w:sz w:val="18"/>
                                              <w:szCs w:val="18"/>
                                              <w:lang w:val="en-IE"/>
                                              <w14:ligatures w14:val="none"/>
                                            </w:rPr>
                                          </w:pPr>
                                          <w:r>
                                            <w:rPr>
                                              <w:rFonts w:ascii="Segoe UI" w:hAnsi="Segoe UI" w:cs="Segoe UI"/>
                                              <w:i/>
                                              <w:iCs/>
                                              <w:lang w:val="en-GB"/>
                                              <w14:ligatures w14:val="none"/>
                                            </w:rPr>
                                            <w:t xml:space="preserve">In this context, and as we approach the 20 November - the </w:t>
                                          </w:r>
                                          <w:hyperlink r:id="rId12" w:history="1">
                                            <w:r>
                                              <w:rPr>
                                                <w:rStyle w:val="Hiperligao"/>
                                                <w:rFonts w:ascii="Segoe UI" w:hAnsi="Segoe UI" w:cs="Segoe UI"/>
                                                <w:i/>
                                                <w:iCs/>
                                                <w:color w:val="0000FF"/>
                                                <w:lang w:val="en-GB"/>
                                                <w14:ligatures w14:val="none"/>
                                              </w:rPr>
                                              <w:t>World’s Children’s Day</w:t>
                                            </w:r>
                                          </w:hyperlink>
                                          <w:r>
                                            <w:rPr>
                                              <w:rFonts w:ascii="Segoe UI" w:hAnsi="Segoe UI" w:cs="Segoe UI"/>
                                              <w:i/>
                                              <w:iCs/>
                                              <w:lang w:val="en-GB"/>
                                              <w14:ligatures w14:val="none"/>
                                            </w:rPr>
                                            <w:t>, our work on the implementation of the European Child Guarantee becomes even more urgent.</w:t>
                                          </w:r>
                                          <w:r>
                                            <w:rPr>
                                              <w:rFonts w:ascii="Segoe UI" w:hAnsi="Segoe UI" w:cs="Segoe UI"/>
                                              <w:i/>
                                              <w:iCs/>
                                              <w:sz w:val="18"/>
                                              <w:szCs w:val="18"/>
                                              <w:lang w:val="en-GB"/>
                                              <w14:ligatures w14:val="none"/>
                                            </w:rPr>
                                            <w:t xml:space="preserve"> </w:t>
                                          </w:r>
                                          <w:r>
                                            <w:rPr>
                                              <w:rFonts w:ascii="Segoe UI" w:hAnsi="Segoe UI" w:cs="Segoe UI"/>
                                              <w:i/>
                                              <w:iCs/>
                                              <w:lang w:val="en-GB"/>
                                              <w14:ligatures w14:val="none"/>
                                            </w:rPr>
                                            <w:t xml:space="preserve">Addressing child poverty is not only a moral issue, but also an urgent task economically speaking, as child poverty has a cost. By undermining the potential of our youngest generation, by quelling innovative ideas and opportunities, child poverty results in lower productivity. 3.4% of GDP – this is what child poverty costs us each year on average in the EU, according to the </w:t>
                                          </w:r>
                                          <w:hyperlink r:id="rId13" w:anchor=":~:text=Drawing%20on%20Europe%2Dwide%20survey%20data%20from%2027,the%20equivalent%20of%203.4%25%20of%20GDP%20annually." w:history="1">
                                            <w:r>
                                              <w:rPr>
                                                <w:rStyle w:val="Hiperligao"/>
                                                <w:rFonts w:ascii="Segoe UI" w:hAnsi="Segoe UI" w:cs="Segoe UI"/>
                                                <w:i/>
                                                <w:iCs/>
                                                <w:color w:val="0000FF"/>
                                                <w:lang w:val="en-GB"/>
                                                <w14:ligatures w14:val="none"/>
                                              </w:rPr>
                                              <w:t>OECD</w:t>
                                            </w:r>
                                          </w:hyperlink>
                                          <w:r>
                                            <w:rPr>
                                              <w:rFonts w:ascii="Segoe UI" w:hAnsi="Segoe UI" w:cs="Segoe UI"/>
                                              <w:i/>
                                              <w:iCs/>
                                              <w:lang w:val="en-GB"/>
                                              <w14:ligatures w14:val="none"/>
                                            </w:rPr>
                                            <w:t>.</w:t>
                                          </w:r>
                                        </w:p>
                                        <w:p w14:paraId="7412B556" w14:textId="77777777" w:rsidR="00DB6AB6" w:rsidRDefault="00DB6AB6" w:rsidP="00CB6A28">
                                          <w:pPr>
                                            <w:framePr w:hSpace="141" w:wrap="around" w:vAnchor="text" w:hAnchor="text"/>
                                            <w:spacing w:before="100" w:beforeAutospacing="1" w:after="100" w:afterAutospacing="1" w:line="300" w:lineRule="atLeast"/>
                                            <w:jc w:val="both"/>
                                            <w:rPr>
                                              <w:rFonts w:ascii="Segoe UI" w:hAnsi="Segoe UI" w:cs="Segoe UI"/>
                                              <w:i/>
                                              <w:iCs/>
                                              <w:lang w:val="en-GB"/>
                                              <w14:ligatures w14:val="none"/>
                                            </w:rPr>
                                          </w:pPr>
                                          <w:r>
                                            <w:rPr>
                                              <w:rFonts w:ascii="Segoe UI" w:hAnsi="Segoe UI" w:cs="Segoe UI"/>
                                              <w:i/>
                                              <w:iCs/>
                                              <w:lang w:val="en-GB"/>
                                              <w14:ligatures w14:val="none"/>
                                            </w:rPr>
                                            <w:t>With this motivation in mind, we invite you to a handful of news on new events and reports relating to our work.</w:t>
                                          </w:r>
                                        </w:p>
                                        <w:p w14:paraId="46B6D01D" w14:textId="77777777" w:rsidR="00DB6AB6" w:rsidRDefault="00DB6AB6" w:rsidP="00CB6A28">
                                          <w:pPr>
                                            <w:framePr w:hSpace="141" w:wrap="around" w:vAnchor="text" w:hAnchor="text"/>
                                            <w:spacing w:before="100" w:beforeAutospacing="1" w:after="100" w:afterAutospacing="1" w:line="300" w:lineRule="atLeast"/>
                                            <w:jc w:val="both"/>
                                            <w:rPr>
                                              <w:rFonts w:ascii="Segoe UI" w:hAnsi="Segoe UI" w:cs="Segoe UI"/>
                                              <w:i/>
                                              <w:iCs/>
                                              <w:lang w:val="en-GB"/>
                                              <w14:ligatures w14:val="none"/>
                                            </w:rPr>
                                          </w:pPr>
                                        </w:p>
                                        <w:p w14:paraId="286A2ADF" w14:textId="77777777" w:rsidR="00DB6AB6" w:rsidRDefault="00DB6AB6" w:rsidP="00CB6A28">
                                          <w:pPr>
                                            <w:framePr w:hSpace="141" w:wrap="around" w:vAnchor="text" w:hAnchor="text"/>
                                            <w:spacing w:before="100" w:beforeAutospacing="1" w:after="100" w:afterAutospacing="1" w:line="300" w:lineRule="atLeast"/>
                                            <w:jc w:val="both"/>
                                            <w:rPr>
                                              <w:rFonts w:ascii="Segoe UI" w:hAnsi="Segoe UI" w:cs="Segoe UI"/>
                                              <w:i/>
                                              <w:iCs/>
                                              <w:lang w:val="en-GB"/>
                                              <w14:ligatures w14:val="none"/>
                                            </w:rPr>
                                          </w:pPr>
                                        </w:p>
                                        <w:p w14:paraId="48A84AF1" w14:textId="77777777" w:rsidR="00DB6AB6" w:rsidRDefault="00DB6AB6" w:rsidP="00CB6A28">
                                          <w:pPr>
                                            <w:framePr w:hSpace="141" w:wrap="around" w:vAnchor="text" w:hAnchor="text"/>
                                            <w:spacing w:before="100" w:beforeAutospacing="1" w:after="100" w:afterAutospacing="1" w:line="300" w:lineRule="atLeast"/>
                                            <w:jc w:val="both"/>
                                            <w:rPr>
                                              <w:rFonts w:ascii="Segoe UI" w:hAnsi="Segoe UI" w:cs="Segoe UI"/>
                                              <w:i/>
                                              <w:iCs/>
                                              <w:lang w:val="en-GB"/>
                                              <w14:ligatures w14:val="none"/>
                                            </w:rPr>
                                          </w:pPr>
                                        </w:p>
                                        <w:p w14:paraId="27E4DB85" w14:textId="77777777" w:rsidR="00DB6AB6" w:rsidRDefault="00DB6AB6" w:rsidP="00CB6A28">
                                          <w:pPr>
                                            <w:framePr w:hSpace="141" w:wrap="around" w:vAnchor="text" w:hAnchor="text"/>
                                            <w:spacing w:before="100" w:beforeAutospacing="1" w:after="100" w:afterAutospacing="1" w:line="300" w:lineRule="atLeast"/>
                                            <w:jc w:val="both"/>
                                            <w:rPr>
                                              <w:rFonts w:ascii="Segoe UI" w:hAnsi="Segoe UI" w:cs="Segoe UI"/>
                                              <w:i/>
                                              <w:iCs/>
                                              <w:lang w:val="en-GB"/>
                                              <w14:ligatures w14:val="none"/>
                                            </w:rPr>
                                          </w:pPr>
                                        </w:p>
                                      </w:tc>
                                    </w:tr>
                                  </w:tbl>
                                  <w:p w14:paraId="7E83A84C" w14:textId="77777777" w:rsidR="00DB6AB6" w:rsidRPr="00DB6AB6" w:rsidRDefault="00DB6AB6" w:rsidP="00CB6A28">
                                    <w:pPr>
                                      <w:framePr w:hSpace="141" w:wrap="around" w:vAnchor="text" w:hAnchor="text"/>
                                      <w:rPr>
                                        <w:rFonts w:ascii="Times New Roman" w:eastAsia="Times New Roman" w:hAnsi="Times New Roman" w:cs="Times New Roman"/>
                                        <w:sz w:val="20"/>
                                        <w:szCs w:val="20"/>
                                        <w:lang w:val="en-US" w:eastAsia="pt-PT"/>
                                        <w14:ligatures w14:val="none"/>
                                      </w:rPr>
                                    </w:pPr>
                                  </w:p>
                                </w:tc>
                                <w:tc>
                                  <w:tcPr>
                                    <w:tcW w:w="1900" w:type="pct"/>
                                    <w:hideMark/>
                                  </w:tcPr>
                                  <w:tbl>
                                    <w:tblPr>
                                      <w:tblW w:w="5000" w:type="pct"/>
                                      <w:tblCellMar>
                                        <w:left w:w="0" w:type="dxa"/>
                                        <w:right w:w="0" w:type="dxa"/>
                                      </w:tblCellMar>
                                      <w:tblLook w:val="04A0" w:firstRow="1" w:lastRow="0" w:firstColumn="1" w:lastColumn="0" w:noHBand="0" w:noVBand="1"/>
                                    </w:tblPr>
                                    <w:tblGrid>
                                      <w:gridCol w:w="6"/>
                                    </w:tblGrid>
                                    <w:tr w:rsidR="00DB6AB6" w:rsidRPr="00DB6AB6" w14:paraId="7309B1C2" w14:textId="77777777">
                                      <w:tc>
                                        <w:tcPr>
                                          <w:tcW w:w="0" w:type="auto"/>
                                          <w:vAlign w:val="center"/>
                                          <w:hideMark/>
                                        </w:tcPr>
                                        <w:p w14:paraId="1BDC71E2" w14:textId="77777777" w:rsidR="00DB6AB6" w:rsidRPr="00DB6AB6" w:rsidRDefault="00DB6AB6" w:rsidP="00CB6A28">
                                          <w:pPr>
                                            <w:framePr w:hSpace="141" w:wrap="around" w:vAnchor="text" w:hAnchor="text"/>
                                            <w:rPr>
                                              <w:rFonts w:ascii="Times New Roman" w:eastAsia="Times New Roman" w:hAnsi="Times New Roman" w:cs="Times New Roman"/>
                                              <w:sz w:val="20"/>
                                              <w:szCs w:val="20"/>
                                              <w:lang w:val="en-US" w:eastAsia="pt-PT"/>
                                              <w14:ligatures w14:val="none"/>
                                            </w:rPr>
                                          </w:pPr>
                                        </w:p>
                                      </w:tc>
                                    </w:tr>
                                  </w:tbl>
                                  <w:p w14:paraId="55F54454" w14:textId="77777777" w:rsidR="00DB6AB6" w:rsidRPr="00DB6AB6" w:rsidRDefault="00DB6AB6" w:rsidP="00CB6A28">
                                    <w:pPr>
                                      <w:framePr w:hSpace="141" w:wrap="around" w:vAnchor="text" w:hAnchor="text"/>
                                      <w:rPr>
                                        <w:rFonts w:ascii="Times New Roman" w:eastAsia="Times New Roman" w:hAnsi="Times New Roman" w:cs="Times New Roman"/>
                                        <w:sz w:val="20"/>
                                        <w:szCs w:val="20"/>
                                        <w:lang w:val="en-US" w:eastAsia="pt-PT"/>
                                        <w14:ligatures w14:val="none"/>
                                      </w:rPr>
                                    </w:pPr>
                                  </w:p>
                                </w:tc>
                              </w:tr>
                            </w:tbl>
                            <w:p w14:paraId="0992E825" w14:textId="77777777" w:rsidR="00DB6AB6" w:rsidRPr="00DB6AB6" w:rsidRDefault="00DB6AB6" w:rsidP="00CB6A28">
                              <w:pPr>
                                <w:framePr w:hSpace="141" w:wrap="around" w:vAnchor="text" w:hAnchor="text"/>
                                <w:rPr>
                                  <w:rFonts w:ascii="Times New Roman" w:eastAsia="Times New Roman" w:hAnsi="Times New Roman" w:cs="Times New Roman"/>
                                  <w:sz w:val="20"/>
                                  <w:szCs w:val="20"/>
                                  <w:lang w:val="en-US" w:eastAsia="pt-PT"/>
                                  <w14:ligatures w14:val="none"/>
                                </w:rPr>
                              </w:pPr>
                            </w:p>
                          </w:tc>
                        </w:tr>
                      </w:tbl>
                      <w:p w14:paraId="372BFC7A" w14:textId="77777777" w:rsidR="00DB6AB6" w:rsidRPr="00DB6AB6" w:rsidRDefault="00DB6AB6" w:rsidP="00CB6A28">
                        <w:pPr>
                          <w:framePr w:hSpace="141" w:wrap="around" w:vAnchor="text" w:hAnchor="text"/>
                          <w:jc w:val="center"/>
                          <w:rPr>
                            <w:rFonts w:ascii="Times New Roman" w:eastAsia="Times New Roman" w:hAnsi="Times New Roman" w:cs="Times New Roman"/>
                            <w:sz w:val="20"/>
                            <w:szCs w:val="20"/>
                            <w:lang w:val="en-US" w:eastAsia="pt-PT"/>
                            <w14:ligatures w14:val="none"/>
                          </w:rPr>
                        </w:pPr>
                      </w:p>
                    </w:tc>
                  </w:tr>
                  <w:tr w:rsidR="00DB6AB6" w14:paraId="4567AC0E" w14:textId="77777777" w:rsidTr="00DB6AB6">
                    <w:trPr>
                      <w:trHeight w:val="60"/>
                      <w:jc w:val="center"/>
                    </w:trPr>
                    <w:tc>
                      <w:tcPr>
                        <w:tcW w:w="0" w:type="auto"/>
                        <w:shd w:val="clear" w:color="auto" w:fill="FFFFFF"/>
                        <w:vAlign w:val="center"/>
                        <w:hideMark/>
                      </w:tcPr>
                      <w:p w14:paraId="60234DAC" w14:textId="42E0021F" w:rsidR="00DB6AB6" w:rsidRDefault="00DB6AB6" w:rsidP="00CB6A28">
                        <w:pPr>
                          <w:framePr w:hSpace="141" w:wrap="around" w:vAnchor="text" w:hAnchor="text"/>
                          <w:spacing w:line="0" w:lineRule="atLeast"/>
                          <w:jc w:val="both"/>
                          <w:rPr>
                            <w:rFonts w:ascii="Arial" w:hAnsi="Arial" w:cs="Arial"/>
                            <w:color w:val="878787"/>
                            <w14:ligatures w14:val="none"/>
                          </w:rPr>
                        </w:pPr>
                        <w:r>
                          <w:rPr>
                            <w:rFonts w:ascii="Arial" w:hAnsi="Arial" w:cs="Arial"/>
                            <w:noProof/>
                            <w:color w:val="878787"/>
                            <w14:ligatures w14:val="none"/>
                          </w:rPr>
                          <w:drawing>
                            <wp:inline distT="0" distB="0" distL="0" distR="0" wp14:anchorId="091ABAA4" wp14:editId="5014A3E2">
                              <wp:extent cx="10795" cy="10795"/>
                              <wp:effectExtent l="0" t="0" r="0" b="0"/>
                              <wp:docPr id="199638086" name="Imagem 7" descr="https://ec.europa.eu/newsroom/img/newsletter/generi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europa.eu/newsroom/img/newsletter/generic/spacer.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r>
                </w:tbl>
                <w:p w14:paraId="3540767E" w14:textId="77777777" w:rsidR="00DB6AB6" w:rsidRDefault="00DB6AB6" w:rsidP="00CB6A28">
                  <w:pPr>
                    <w:framePr w:hSpace="141" w:wrap="around" w:vAnchor="text" w:hAnchor="text"/>
                    <w:jc w:val="center"/>
                    <w:rPr>
                      <w:rFonts w:ascii="Times New Roman" w:eastAsia="Times New Roman" w:hAnsi="Times New Roman" w:cs="Times New Roman"/>
                      <w:sz w:val="20"/>
                      <w:szCs w:val="20"/>
                      <w:lang w:eastAsia="pt-PT"/>
                      <w14:ligatures w14:val="none"/>
                    </w:rPr>
                  </w:pPr>
                </w:p>
              </w:tc>
            </w:tr>
          </w:tbl>
          <w:p w14:paraId="1CEB64EA" w14:textId="77777777" w:rsidR="00DB6AB6" w:rsidRDefault="00DB6AB6" w:rsidP="00CB6A28">
            <w:pPr>
              <w:jc w:val="center"/>
              <w:rPr>
                <w:rFonts w:ascii="Times New Roman" w:eastAsia="Times New Roman" w:hAnsi="Times New Roman" w:cs="Times New Roman"/>
                <w:sz w:val="20"/>
                <w:szCs w:val="20"/>
                <w:lang w:eastAsia="pt-PT"/>
                <w14:ligatures w14:val="none"/>
              </w:rPr>
            </w:pPr>
          </w:p>
        </w:tc>
      </w:tr>
      <w:tr w:rsidR="00DB6AB6" w14:paraId="1DE717F8" w14:textId="77777777" w:rsidTr="004D270B">
        <w:tc>
          <w:tcPr>
            <w:tcW w:w="9262" w:type="dxa"/>
            <w:gridSpan w:val="2"/>
            <w:shd w:val="clear" w:color="auto" w:fill="F1F1F1"/>
            <w:vAlign w:val="center"/>
            <w:hideMark/>
          </w:tcPr>
          <w:p w14:paraId="30253175" w14:textId="77777777" w:rsidR="00DB6AB6" w:rsidRDefault="00DB6AB6" w:rsidP="00CB6A28">
            <w:pPr>
              <w:rPr>
                <w:rFonts w:ascii="Times New Roman" w:eastAsia="Times New Roman" w:hAnsi="Times New Roman" w:cs="Times New Roman"/>
                <w:sz w:val="20"/>
                <w:szCs w:val="20"/>
                <w:lang w:eastAsia="pt-PT"/>
                <w14:ligatures w14:val="none"/>
              </w:rPr>
            </w:pPr>
          </w:p>
        </w:tc>
      </w:tr>
      <w:tr w:rsidR="00DB6AB6" w14:paraId="2323A315" w14:textId="77777777" w:rsidTr="004D270B">
        <w:tc>
          <w:tcPr>
            <w:tcW w:w="9262" w:type="dxa"/>
            <w:gridSpan w:val="2"/>
            <w:shd w:val="clear" w:color="auto" w:fill="F1F1F1"/>
            <w:vAlign w:val="center"/>
            <w:hideMark/>
          </w:tcPr>
          <w:p w14:paraId="458F3CFE" w14:textId="77777777" w:rsidR="00DB6AB6" w:rsidRDefault="00DB6AB6" w:rsidP="00CB6A28">
            <w:pPr>
              <w:rPr>
                <w:rFonts w:ascii="Times New Roman" w:eastAsia="Times New Roman" w:hAnsi="Times New Roman" w:cs="Times New Roman"/>
                <w:sz w:val="20"/>
                <w:szCs w:val="20"/>
                <w:lang w:eastAsia="pt-PT"/>
                <w14:ligatures w14:val="none"/>
              </w:rPr>
            </w:pPr>
          </w:p>
        </w:tc>
      </w:tr>
      <w:tr w:rsidR="00DB6AB6" w14:paraId="5117E26A" w14:textId="77777777" w:rsidTr="004D270B">
        <w:tc>
          <w:tcPr>
            <w:tcW w:w="9262" w:type="dxa"/>
            <w:gridSpan w:val="2"/>
            <w:shd w:val="clear" w:color="auto" w:fill="0065A2"/>
            <w:tcMar>
              <w:top w:w="405" w:type="dxa"/>
              <w:left w:w="300" w:type="dxa"/>
              <w:bottom w:w="150" w:type="dxa"/>
              <w:right w:w="300" w:type="dxa"/>
            </w:tcMar>
            <w:vAlign w:val="center"/>
            <w:hideMark/>
          </w:tcPr>
          <w:p w14:paraId="2934290F" w14:textId="77777777" w:rsidR="00DB6AB6" w:rsidRDefault="00DB6AB6" w:rsidP="00CB6A28">
            <w:pPr>
              <w:jc w:val="center"/>
              <w:rPr>
                <w:rFonts w:ascii="Segoe UI Light" w:hAnsi="Segoe UI Light" w:cs="Segoe UI Light"/>
                <w:b/>
                <w:bCs/>
                <w:color w:val="878787"/>
                <w:sz w:val="30"/>
                <w:szCs w:val="30"/>
                <w14:ligatures w14:val="none"/>
              </w:rPr>
            </w:pPr>
            <w:r>
              <w:rPr>
                <w:rFonts w:ascii="Segoe UI Light" w:hAnsi="Segoe UI Light" w:cs="Segoe UI Light"/>
                <w:b/>
                <w:bCs/>
                <w:color w:val="FFFFFF"/>
                <w:sz w:val="30"/>
                <w:szCs w:val="30"/>
                <w14:ligatures w14:val="none"/>
              </w:rPr>
              <w:lastRenderedPageBreak/>
              <w:t>News</w:t>
            </w:r>
          </w:p>
        </w:tc>
      </w:tr>
      <w:tr w:rsidR="00DB6AB6" w:rsidRPr="00DB6AB6" w14:paraId="2D0CE126" w14:textId="77777777" w:rsidTr="004D270B">
        <w:trPr>
          <w:gridAfter w:val="1"/>
          <w:wAfter w:w="236" w:type="dxa"/>
        </w:trPr>
        <w:tc>
          <w:tcPr>
            <w:tcW w:w="9026" w:type="dxa"/>
            <w:shd w:val="clear" w:color="auto" w:fill="ECEBEB"/>
            <w:hideMark/>
          </w:tcPr>
          <w:tbl>
            <w:tblPr>
              <w:tblW w:w="9000" w:type="dxa"/>
              <w:jc w:val="center"/>
              <w:shd w:val="clear" w:color="auto" w:fill="ECEBEB"/>
              <w:tblCellMar>
                <w:left w:w="0" w:type="dxa"/>
                <w:right w:w="0" w:type="dxa"/>
              </w:tblCellMar>
              <w:tblLook w:val="04A0" w:firstRow="1" w:lastRow="0" w:firstColumn="1" w:lastColumn="0" w:noHBand="0" w:noVBand="1"/>
            </w:tblPr>
            <w:tblGrid>
              <w:gridCol w:w="9000"/>
            </w:tblGrid>
            <w:tr w:rsidR="00DB6AB6" w:rsidRPr="00DB6AB6" w14:paraId="49F66CBE" w14:textId="77777777">
              <w:trPr>
                <w:jc w:val="center"/>
              </w:trPr>
              <w:tc>
                <w:tcPr>
                  <w:tcW w:w="9000" w:type="dxa"/>
                  <w:shd w:val="clear" w:color="auto" w:fill="ECEBEB"/>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DB6AB6" w14:paraId="2741550D" w14:textId="77777777">
                    <w:trPr>
                      <w:trHeight w:val="70"/>
                      <w:jc w:val="center"/>
                    </w:trPr>
                    <w:tc>
                      <w:tcPr>
                        <w:tcW w:w="0" w:type="auto"/>
                        <w:shd w:val="clear" w:color="auto" w:fill="FFFFFF"/>
                        <w:vAlign w:val="center"/>
                        <w:hideMark/>
                      </w:tcPr>
                      <w:p w14:paraId="0C7CB53B" w14:textId="1ABFEB80" w:rsidR="00DB6AB6" w:rsidRDefault="00DB6AB6" w:rsidP="00CB6A28">
                        <w:pPr>
                          <w:framePr w:hSpace="141" w:wrap="around" w:vAnchor="text" w:hAnchor="text"/>
                          <w:spacing w:line="0" w:lineRule="atLeast"/>
                          <w:jc w:val="both"/>
                          <w:rPr>
                            <w:rFonts w:ascii="Arial" w:hAnsi="Arial" w:cs="Arial"/>
                            <w:color w:val="878787"/>
                            <w14:ligatures w14:val="none"/>
                          </w:rPr>
                        </w:pPr>
                        <w:r>
                          <w:rPr>
                            <w:rFonts w:ascii="Arial" w:hAnsi="Arial" w:cs="Arial"/>
                            <w:noProof/>
                            <w:color w:val="878787"/>
                            <w14:ligatures w14:val="none"/>
                          </w:rPr>
                          <w:drawing>
                            <wp:inline distT="0" distB="0" distL="0" distR="0" wp14:anchorId="464CD463" wp14:editId="5B710B00">
                              <wp:extent cx="10795" cy="10795"/>
                              <wp:effectExtent l="0" t="0" r="0" b="0"/>
                              <wp:docPr id="808513678" name="Imagem 9" descr="https://ec.europa.eu/newsroom/img/newsletter/generi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europa.eu/newsroom/img/newsletter/generic/spacer.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r>
                  <w:tr w:rsidR="00DB6AB6" w14:paraId="1A89A27B" w14:textId="77777777">
                    <w:trPr>
                      <w:jc w:val="center"/>
                    </w:trPr>
                    <w:tc>
                      <w:tcPr>
                        <w:tcW w:w="0" w:type="auto"/>
                        <w:shd w:val="clear" w:color="auto" w:fill="FFFFFF"/>
                        <w:tcMar>
                          <w:top w:w="150" w:type="dxa"/>
                          <w:left w:w="300" w:type="dxa"/>
                          <w:bottom w:w="105" w:type="dxa"/>
                          <w:right w:w="300" w:type="dxa"/>
                        </w:tcMar>
                        <w:vAlign w:val="center"/>
                        <w:hideMark/>
                      </w:tcPr>
                      <w:p w14:paraId="1068AB8B" w14:textId="77777777" w:rsidR="00DB6AB6" w:rsidRDefault="00DB6AB6" w:rsidP="00CB6A28">
                        <w:pPr>
                          <w:framePr w:hSpace="141" w:wrap="around" w:vAnchor="text" w:hAnchor="text"/>
                          <w:rPr>
                            <w:rFonts w:ascii="Arial" w:hAnsi="Arial" w:cs="Arial"/>
                            <w:color w:val="878787"/>
                            <w14:ligatures w14:val="none"/>
                          </w:rPr>
                        </w:pPr>
                      </w:p>
                    </w:tc>
                  </w:tr>
                  <w:tr w:rsidR="00DB6AB6" w:rsidRPr="00DB6AB6" w14:paraId="0B8BDCC9" w14:textId="77777777">
                    <w:trPr>
                      <w:jc w:val="center"/>
                    </w:trPr>
                    <w:tc>
                      <w:tcPr>
                        <w:tcW w:w="0" w:type="auto"/>
                        <w:shd w:val="clear" w:color="auto" w:fill="FFFFFF"/>
                        <w:tcMar>
                          <w:top w:w="300" w:type="dxa"/>
                          <w:left w:w="300" w:type="dxa"/>
                          <w:bottom w:w="300" w:type="dxa"/>
                          <w:right w:w="300" w:type="dxa"/>
                        </w:tcMar>
                        <w:vAlign w:val="center"/>
                      </w:tcPr>
                      <w:p w14:paraId="2D2AF7E4" w14:textId="01C0E28E" w:rsidR="00DB6AB6" w:rsidRDefault="00DB6AB6" w:rsidP="00CB6A28">
                        <w:pPr>
                          <w:framePr w:hSpace="141" w:wrap="around" w:vAnchor="text" w:hAnchor="text"/>
                          <w:ind w:right="300"/>
                          <w:jc w:val="both"/>
                          <w:rPr>
                            <w:rFonts w:ascii="Segoe UI" w:hAnsi="Segoe UI" w:cs="Segoe UI"/>
                            <w:b/>
                            <w:bCs/>
                            <w:color w:val="0065A2"/>
                            <w:lang w:val="en-GB"/>
                            <w14:ligatures w14:val="none"/>
                          </w:rPr>
                        </w:pPr>
                        <w:r>
                          <w:rPr>
                            <w:rFonts w:ascii="Segoe UI" w:hAnsi="Segoe UI" w:cs="Segoe UI"/>
                            <w:b/>
                            <w:bCs/>
                            <w:color w:val="0065A2"/>
                            <w:lang w:val="en-GB"/>
                            <w14:ligatures w14:val="none"/>
                          </w:rPr>
                          <w:t>European Commission presents its work programme for 2026</w:t>
                        </w:r>
                      </w:p>
                      <w:p w14:paraId="6474A9F0" w14:textId="77777777" w:rsidR="00DB6AB6" w:rsidRDefault="00DB6AB6" w:rsidP="00CB6A28">
                        <w:pPr>
                          <w:framePr w:hSpace="141" w:wrap="around" w:vAnchor="text" w:hAnchor="text"/>
                          <w:spacing w:after="120"/>
                          <w:ind w:right="301"/>
                          <w:jc w:val="both"/>
                          <w:rPr>
                            <w:rFonts w:ascii="Segoe UI" w:hAnsi="Segoe UI" w:cs="Segoe UI"/>
                            <w:lang w:val="en-GB"/>
                            <w14:ligatures w14:val="none"/>
                          </w:rPr>
                        </w:pPr>
                        <w:r>
                          <w:rPr>
                            <w:rFonts w:ascii="Segoe UI" w:hAnsi="Segoe UI" w:cs="Segoe UI"/>
                            <w:color w:val="000000"/>
                            <w:lang w:val="en-IE"/>
                            <w14:ligatures w14:val="none"/>
                          </w:rPr>
                          <w:t>On 21 October, the College (plenary meeting of all EU Commissioners) adopted the Commission work programme for 2026</w:t>
                        </w:r>
                        <w:proofErr w:type="gramStart"/>
                        <w:r>
                          <w:rPr>
                            <w:rFonts w:ascii="Segoe UI" w:hAnsi="Segoe UI" w:cs="Segoe UI"/>
                            <w:color w:val="000000"/>
                            <w:lang w:val="en-IE"/>
                            <w14:ligatures w14:val="none"/>
                          </w:rPr>
                          <w:t xml:space="preserve">. </w:t>
                        </w:r>
                        <w:r>
                          <w:rPr>
                            <w:rFonts w:ascii="Segoe UI" w:hAnsi="Segoe UI" w:cs="Segoe UI"/>
                            <w:b/>
                            <w:bCs/>
                            <w:color w:val="000000"/>
                            <w:lang w:val="en-IE"/>
                            <w14:ligatures w14:val="none"/>
                          </w:rPr>
                          <w:t> </w:t>
                        </w:r>
                        <w:proofErr w:type="gramEnd"/>
                        <w:r>
                          <w:rPr>
                            <w:rFonts w:ascii="Segoe UI" w:hAnsi="Segoe UI" w:cs="Segoe UI"/>
                            <w:color w:val="000000"/>
                            <w:lang w:val="en-GB"/>
                            <w14:ligatures w14:val="none"/>
                          </w:rPr>
                          <w:t>According to President von der Leyen, the document marks </w:t>
                        </w:r>
                        <w:r>
                          <w:rPr>
                            <w:rFonts w:ascii="Segoe UI" w:hAnsi="Segoe UI" w:cs="Segoe UI"/>
                            <w:i/>
                            <w:iCs/>
                            <w:color w:val="000000"/>
                            <w:lang w:val="en-GB"/>
                            <w14:ligatures w14:val="none"/>
                          </w:rPr>
                          <w:t xml:space="preserve">“another significant step towards a stronger, more sovereign Europe.” </w:t>
                        </w:r>
                        <w:r>
                          <w:rPr>
                            <w:rFonts w:ascii="Segoe UI" w:hAnsi="Segoe UI" w:cs="Segoe UI"/>
                            <w:color w:val="000000"/>
                            <w:lang w:val="en-GB"/>
                            <w14:ligatures w14:val="none"/>
                          </w:rPr>
                          <w:t>Each year, the work programme informs the public and co-legislators of the Commission’s political commitments to present new initiatives, withdraw pending proposals and review existing EU legislation.</w:t>
                        </w:r>
                      </w:p>
                      <w:p w14:paraId="6AA83A4C" w14:textId="77777777" w:rsidR="00DB6AB6" w:rsidRDefault="00DB6AB6" w:rsidP="00CB6A28">
                        <w:pPr>
                          <w:framePr w:hSpace="141" w:wrap="around" w:vAnchor="text" w:hAnchor="text"/>
                          <w:spacing w:after="120"/>
                          <w:ind w:right="301"/>
                          <w:jc w:val="both"/>
                          <w:rPr>
                            <w:rFonts w:ascii="Segoe UI" w:hAnsi="Segoe UI" w:cs="Segoe UI"/>
                            <w:lang w:val="en-GB"/>
                            <w14:ligatures w14:val="none"/>
                          </w:rPr>
                        </w:pPr>
                        <w:r>
                          <w:rPr>
                            <w:rFonts w:ascii="Segoe UI" w:hAnsi="Segoe UI" w:cs="Segoe UI"/>
                            <w:color w:val="000000"/>
                            <w:lang w:val="en-GB"/>
                            <w14:ligatures w14:val="none"/>
                          </w:rPr>
                          <w:t>The work programme features six priority areas. Under supporting people and strengthening Europe’s social model heading, Quality Jobs Act, the Fair labour mobility package, and the Education package figure prominently, as well as</w:t>
                        </w:r>
                        <w:r>
                          <w:rPr>
                            <w:rFonts w:ascii="Segoe UI" w:hAnsi="Segoe UI" w:cs="Segoe UI"/>
                            <w:b/>
                            <w:bCs/>
                            <w:color w:val="000000"/>
                            <w:lang w:val="en-GB"/>
                            <w14:ligatures w14:val="none"/>
                          </w:rPr>
                          <w:t xml:space="preserve"> </w:t>
                        </w:r>
                        <w:r>
                          <w:rPr>
                            <w:rFonts w:ascii="Segoe UI" w:hAnsi="Segoe UI" w:cs="Segoe UI"/>
                            <w:color w:val="000000"/>
                            <w:lang w:val="en-GB"/>
                            <w14:ligatures w14:val="none"/>
                          </w:rPr>
                          <w:t xml:space="preserve">a series of measures to address the affordability and cost of living crisis. In addition, the first-ever EU Anti-poverty strategy will address structural causes of exclusion and strengthen support services. The strategy will be backed by a strengthened Child Guarantee that will include investments and reforms to tackle child poverty. Read the full </w:t>
                        </w:r>
                        <w:hyperlink r:id="rId14" w:history="1">
                          <w:r>
                            <w:rPr>
                              <w:rStyle w:val="Hiperligao"/>
                              <w:rFonts w:ascii="Segoe UI" w:hAnsi="Segoe UI" w:cs="Segoe UI"/>
                              <w:b/>
                              <w:bCs/>
                              <w:color w:val="0000FF"/>
                              <w:lang w:val="en-GB"/>
                              <w14:ligatures w14:val="none"/>
                            </w:rPr>
                            <w:t>2026 CWP</w:t>
                          </w:r>
                        </w:hyperlink>
                        <w:r>
                          <w:rPr>
                            <w:rFonts w:ascii="Segoe UI" w:hAnsi="Segoe UI" w:cs="Segoe UI"/>
                            <w:color w:val="000000"/>
                            <w:lang w:val="en-GB"/>
                            <w14:ligatures w14:val="none"/>
                          </w:rPr>
                          <w:t>.</w:t>
                        </w:r>
                      </w:p>
                      <w:p w14:paraId="52D154D8" w14:textId="77777777" w:rsidR="00DB6AB6" w:rsidRDefault="00DB6AB6" w:rsidP="00CB6A28">
                        <w:pPr>
                          <w:framePr w:hSpace="141" w:wrap="around" w:vAnchor="text" w:hAnchor="text"/>
                          <w:jc w:val="both"/>
                          <w:rPr>
                            <w:rFonts w:ascii="Segoe UI" w:hAnsi="Segoe UI" w:cs="Segoe UI"/>
                            <w:color w:val="555555"/>
                            <w:lang w:val="en-GB"/>
                            <w14:ligatures w14:val="none"/>
                          </w:rPr>
                        </w:pPr>
                      </w:p>
                      <w:p w14:paraId="43B0B723" w14:textId="77777777" w:rsidR="00DB6AB6" w:rsidRDefault="00DB6AB6" w:rsidP="00CB6A28">
                        <w:pPr>
                          <w:framePr w:hSpace="141" w:wrap="around" w:vAnchor="text" w:hAnchor="text"/>
                          <w:spacing w:after="120"/>
                          <w:ind w:right="301"/>
                          <w:jc w:val="both"/>
                          <w:rPr>
                            <w:rFonts w:ascii="Segoe UI" w:hAnsi="Segoe UI" w:cs="Segoe UI"/>
                            <w:b/>
                            <w:bCs/>
                            <w:color w:val="0065A2"/>
                            <w:lang w:val="en-IE"/>
                            <w14:ligatures w14:val="none"/>
                          </w:rPr>
                        </w:pPr>
                        <w:r>
                          <w:rPr>
                            <w:rFonts w:ascii="Segoe UI" w:hAnsi="Segoe UI" w:cs="Segoe UI"/>
                            <w:b/>
                            <w:bCs/>
                            <w:color w:val="0065A2"/>
                            <w:lang w:val="en-IE"/>
                            <w14:ligatures w14:val="none"/>
                          </w:rPr>
                          <w:t>Survey on European Child Guarantee open</w:t>
                        </w:r>
                      </w:p>
                      <w:p w14:paraId="6D6E9D4B" w14:textId="77777777" w:rsidR="00DB6AB6" w:rsidRDefault="00DB6AB6" w:rsidP="00CB6A28">
                        <w:pPr>
                          <w:framePr w:hSpace="141" w:wrap="around" w:vAnchor="text" w:hAnchor="text"/>
                          <w:spacing w:after="120"/>
                          <w:ind w:right="301"/>
                          <w:jc w:val="both"/>
                          <w:rPr>
                            <w:rFonts w:ascii="Segoe UI" w:hAnsi="Segoe UI" w:cs="Segoe UI"/>
                            <w:lang w:val="en-IE"/>
                            <w14:ligatures w14:val="none"/>
                          </w:rPr>
                        </w:pPr>
                        <w:r>
                          <w:rPr>
                            <w:rFonts w:ascii="Segoe UI" w:hAnsi="Segoe UI" w:cs="Segoe UI"/>
                            <w:color w:val="000000"/>
                            <w:lang w:val="en-IE"/>
                            <w14:ligatures w14:val="none"/>
                          </w:rPr>
                          <w:t xml:space="preserve">On the International Day for the Eradication of Poverty (17 October), the European Commission launched a </w:t>
                        </w:r>
                        <w:hyperlink r:id="rId15" w:history="1">
                          <w:r>
                            <w:rPr>
                              <w:rStyle w:val="Hiperligao"/>
                              <w:rFonts w:ascii="Segoe UI" w:hAnsi="Segoe UI" w:cs="Segoe UI"/>
                              <w:color w:val="0000FF"/>
                              <w:lang w:val="en-IE"/>
                              <w14:ligatures w14:val="none"/>
                            </w:rPr>
                            <w:t>survey</w:t>
                          </w:r>
                        </w:hyperlink>
                        <w:r>
                          <w:rPr>
                            <w:rFonts w:ascii="Segoe UI" w:hAnsi="Segoe UI" w:cs="Segoe UI"/>
                            <w:color w:val="000000"/>
                            <w:lang w:val="en-IE"/>
                            <w14:ligatures w14:val="none"/>
                          </w:rPr>
                          <w:t xml:space="preserve"> to hear from children about their views on the </w:t>
                        </w:r>
                        <w:hyperlink r:id="rId16" w:history="1">
                          <w:r>
                            <w:rPr>
                              <w:rStyle w:val="Hiperligao"/>
                              <w:rFonts w:ascii="Segoe UI" w:hAnsi="Segoe UI" w:cs="Segoe UI"/>
                              <w:color w:val="0000FF"/>
                              <w:lang w:val="en-IE"/>
                              <w14:ligatures w14:val="none"/>
                            </w:rPr>
                            <w:t>European Child Guarantee</w:t>
                          </w:r>
                        </w:hyperlink>
                        <w:r>
                          <w:rPr>
                            <w:rFonts w:ascii="Segoe UI" w:hAnsi="Segoe UI" w:cs="Segoe UI"/>
                            <w:color w:val="000000"/>
                            <w:lang w:val="en-IE"/>
                            <w14:ligatures w14:val="none"/>
                          </w:rPr>
                          <w:t>.  </w:t>
                        </w:r>
                      </w:p>
                      <w:p w14:paraId="47952F72" w14:textId="77777777" w:rsidR="00DB6AB6" w:rsidRDefault="00DB6AB6" w:rsidP="00CB6A28">
                        <w:pPr>
                          <w:framePr w:hSpace="141" w:wrap="around" w:vAnchor="text" w:hAnchor="text"/>
                          <w:spacing w:after="120"/>
                          <w:ind w:right="301"/>
                          <w:jc w:val="both"/>
                          <w:rPr>
                            <w:rFonts w:ascii="Segoe UI" w:hAnsi="Segoe UI" w:cs="Segoe UI"/>
                            <w:lang w:val="en-IE"/>
                            <w14:ligatures w14:val="none"/>
                          </w:rPr>
                        </w:pPr>
                        <w:r>
                          <w:rPr>
                            <w:rFonts w:ascii="Segoe UI" w:hAnsi="Segoe UI" w:cs="Segoe UI"/>
                            <w:color w:val="000000"/>
                            <w:lang w:val="en-IE"/>
                            <w14:ligatures w14:val="none"/>
                          </w:rPr>
                          <w:t>The </w:t>
                        </w:r>
                        <w:hyperlink r:id="rId17" w:history="1">
                          <w:r>
                            <w:rPr>
                              <w:rStyle w:val="Hiperligao"/>
                              <w:rFonts w:ascii="Segoe UI" w:hAnsi="Segoe UI" w:cs="Segoe UI"/>
                              <w:color w:val="0000FF"/>
                              <w:lang w:val="en-IE"/>
                              <w14:ligatures w14:val="none"/>
                            </w:rPr>
                            <w:t>online survey</w:t>
                          </w:r>
                        </w:hyperlink>
                        <w:r>
                          <w:rPr>
                            <w:rFonts w:ascii="Segoe UI" w:hAnsi="Segoe UI" w:cs="Segoe UI"/>
                            <w:color w:val="000000"/>
                            <w:lang w:val="en-IE"/>
                            <w14:ligatures w14:val="none"/>
                          </w:rPr>
                          <w:t> will remain open for 7 weeks, until 8 December 2025. It is run via the </w:t>
                        </w:r>
                        <w:hyperlink r:id="rId18" w:history="1">
                          <w:r>
                            <w:rPr>
                              <w:rStyle w:val="Hiperligao"/>
                              <w:rFonts w:ascii="Segoe UI" w:hAnsi="Segoe UI" w:cs="Segoe UI"/>
                              <w:color w:val="0000FF"/>
                              <w:lang w:val="en-IE"/>
                              <w14:ligatures w14:val="none"/>
                            </w:rPr>
                            <w:t>EU Children's Participation Platform</w:t>
                          </w:r>
                        </w:hyperlink>
                        <w:r>
                          <w:rPr>
                            <w:rFonts w:ascii="Segoe UI" w:hAnsi="Segoe UI" w:cs="Segoe UI"/>
                            <w:color w:val="000000"/>
                            <w:lang w:val="en-IE"/>
                            <w14:ligatures w14:val="none"/>
                          </w:rPr>
                          <w:t> and is part of the Commission's wider </w:t>
                        </w:r>
                        <w:hyperlink r:id="rId19" w:history="1">
                          <w:r>
                            <w:rPr>
                              <w:rStyle w:val="Hiperligao"/>
                              <w:rFonts w:ascii="Segoe UI" w:hAnsi="Segoe UI" w:cs="Segoe UI"/>
                              <w:color w:val="0000FF"/>
                              <w:lang w:val="en-IE"/>
                              <w14:ligatures w14:val="none"/>
                            </w:rPr>
                            <w:t>commitment to tackling poverty and supporting social inclusion</w:t>
                          </w:r>
                        </w:hyperlink>
                        <w:r>
                          <w:rPr>
                            <w:rFonts w:ascii="Segoe UI" w:hAnsi="Segoe UI" w:cs="Segoe UI"/>
                            <w:color w:val="000000"/>
                            <w:lang w:val="en-IE"/>
                            <w14:ligatures w14:val="none"/>
                          </w:rPr>
                          <w:t> across Europe.</w:t>
                        </w:r>
                      </w:p>
                      <w:p w14:paraId="414A0327" w14:textId="77777777" w:rsidR="00DB6AB6" w:rsidRDefault="00DB6AB6" w:rsidP="00CB6A28">
                        <w:pPr>
                          <w:framePr w:hSpace="141" w:wrap="around" w:vAnchor="text" w:hAnchor="text"/>
                          <w:spacing w:after="120"/>
                          <w:ind w:right="301"/>
                          <w:jc w:val="both"/>
                          <w:rPr>
                            <w:rFonts w:ascii="Segoe UI" w:hAnsi="Segoe UI" w:cs="Segoe UI"/>
                            <w:lang w:val="en-IE"/>
                            <w14:ligatures w14:val="none"/>
                          </w:rPr>
                        </w:pPr>
                        <w:r>
                          <w:rPr>
                            <w:rFonts w:ascii="Segoe UI" w:hAnsi="Segoe UI" w:cs="Segoe UI"/>
                            <w:color w:val="000000"/>
                            <w:lang w:val="en-IE"/>
                            <w14:ligatures w14:val="none"/>
                          </w:rPr>
                          <w:t>The feedback will contribute to the upcoming Anti-Poverty Strategy and strengthening of the European Child Guarantee.</w:t>
                        </w:r>
                      </w:p>
                      <w:p w14:paraId="4F67C7BC" w14:textId="77777777" w:rsidR="00DB6AB6" w:rsidRDefault="00DB6AB6" w:rsidP="00CB6A28">
                        <w:pPr>
                          <w:framePr w:hSpace="141" w:wrap="around" w:vAnchor="text" w:hAnchor="text"/>
                          <w:jc w:val="both"/>
                          <w:rPr>
                            <w:rFonts w:ascii="Segoe UI" w:hAnsi="Segoe UI" w:cs="Segoe UI"/>
                            <w:b/>
                            <w:bCs/>
                            <w:color w:val="2E74B5"/>
                            <w:lang w:val="en-IE"/>
                            <w14:ligatures w14:val="none"/>
                          </w:rPr>
                        </w:pPr>
                      </w:p>
                      <w:p w14:paraId="5B664598" w14:textId="77777777" w:rsidR="00DB6AB6" w:rsidRDefault="00DB6AB6" w:rsidP="00CB6A28">
                        <w:pPr>
                          <w:framePr w:hSpace="141" w:wrap="around" w:vAnchor="text" w:hAnchor="text"/>
                          <w:spacing w:after="120"/>
                          <w:ind w:right="301"/>
                          <w:jc w:val="both"/>
                          <w:rPr>
                            <w:rFonts w:ascii="Segoe UI" w:hAnsi="Segoe UI" w:cs="Segoe UI"/>
                            <w:b/>
                            <w:bCs/>
                            <w:color w:val="0065A2"/>
                            <w:lang w:val="en-IE"/>
                            <w14:ligatures w14:val="none"/>
                          </w:rPr>
                        </w:pPr>
                        <w:r>
                          <w:rPr>
                            <w:rFonts w:ascii="Segoe UI" w:hAnsi="Segoe UI" w:cs="Segoe UI"/>
                            <w:b/>
                            <w:bCs/>
                            <w:color w:val="0065A2"/>
                            <w:lang w:val="en-IE"/>
                            <w14:ligatures w14:val="none"/>
                          </w:rPr>
                          <w:t xml:space="preserve">European Parliament’s Working Group meets to discuss progress and next steps on strengthening the Child Guarantee </w:t>
                        </w:r>
                      </w:p>
                      <w:p w14:paraId="7D88D14D" w14:textId="77777777" w:rsidR="00DB6AB6" w:rsidRDefault="00DB6AB6" w:rsidP="00CB6A28">
                        <w:pPr>
                          <w:framePr w:hSpace="141" w:wrap="around" w:vAnchor="text" w:hAnchor="text"/>
                          <w:jc w:val="both"/>
                          <w:rPr>
                            <w:rFonts w:ascii="Segoe UI" w:hAnsi="Segoe UI" w:cs="Segoe UI"/>
                            <w:lang w:val="en-IE"/>
                            <w14:ligatures w14:val="none"/>
                          </w:rPr>
                        </w:pPr>
                        <w:r>
                          <w:rPr>
                            <w:rFonts w:ascii="Segoe UI" w:hAnsi="Segoe UI" w:cs="Segoe UI"/>
                            <w:color w:val="000000"/>
                            <w:lang w:val="en-IE"/>
                            <w14:ligatures w14:val="none"/>
                          </w:rPr>
                          <w:t xml:space="preserve">The European Parliament’s Working Group on the European Child Guarantee met for the second time in this Parliament’s term on 15 October 2025. The session reviewed achievements such as the expansion of early childhood education, care, and free school meals, as well as the inclusion of candidate countries, while acknowledging persistent challenges around funding, data collection, and coordination. Discussions emphasized the need for more focused and impactful measures, with calls for stronger investment in education, housing, and social services. Civil society representatives highlighted growing child poverty rates across Europe and urged for dedicated EU funding and </w:t>
                        </w:r>
                        <w:r>
                          <w:rPr>
                            <w:rFonts w:ascii="Segoe UI" w:hAnsi="Segoe UI" w:cs="Segoe UI"/>
                            <w:color w:val="000000"/>
                            <w:lang w:val="en-IE"/>
                            <w14:ligatures w14:val="none"/>
                          </w:rPr>
                          <w:lastRenderedPageBreak/>
                          <w:t>better tracking of resources, while Members of European Parliament underlined the urgency of delivering tangible progress for children.</w:t>
                        </w:r>
                      </w:p>
                      <w:p w14:paraId="04D26532" w14:textId="77777777" w:rsidR="00DB6AB6" w:rsidRDefault="00DB6AB6" w:rsidP="00CB6A28">
                        <w:pPr>
                          <w:framePr w:hSpace="141" w:wrap="around" w:vAnchor="text" w:hAnchor="text"/>
                          <w:jc w:val="both"/>
                          <w:rPr>
                            <w:rFonts w:ascii="Segoe UI" w:hAnsi="Segoe UI" w:cs="Segoe UI"/>
                            <w:lang w:val="en-IE"/>
                            <w14:ligatures w14:val="none"/>
                          </w:rPr>
                        </w:pPr>
                      </w:p>
                      <w:p w14:paraId="1680EA23" w14:textId="77777777" w:rsidR="00DB6AB6" w:rsidRDefault="00DB6AB6" w:rsidP="00CB6A28">
                        <w:pPr>
                          <w:framePr w:hSpace="141" w:wrap="around" w:vAnchor="text" w:hAnchor="text"/>
                          <w:spacing w:after="120"/>
                          <w:ind w:right="301"/>
                          <w:rPr>
                            <w:rFonts w:ascii="Segoe UI" w:hAnsi="Segoe UI" w:cs="Segoe UI"/>
                            <w:b/>
                            <w:bCs/>
                            <w:color w:val="0065A2"/>
                            <w:lang w:val="en-IE"/>
                            <w14:ligatures w14:val="none"/>
                          </w:rPr>
                        </w:pPr>
                        <w:r>
                          <w:rPr>
                            <w:rFonts w:ascii="Segoe UI" w:hAnsi="Segoe UI" w:cs="Segoe UI"/>
                            <w:b/>
                            <w:bCs/>
                            <w:color w:val="0065A2"/>
                            <w:lang w:val="en-IE"/>
                            <w14:ligatures w14:val="none"/>
                          </w:rPr>
                          <w:t>Peer Review on social inclusion for families and children in Lithuania</w:t>
                        </w:r>
                      </w:p>
                      <w:p w14:paraId="6AA2F251" w14:textId="77777777" w:rsidR="00DB6AB6" w:rsidRDefault="00DB6AB6" w:rsidP="00CB6A28">
                        <w:pPr>
                          <w:framePr w:hSpace="141" w:wrap="around" w:vAnchor="text" w:hAnchor="text"/>
                          <w:spacing w:after="120"/>
                          <w:ind w:right="301"/>
                          <w:jc w:val="both"/>
                          <w:rPr>
                            <w:rFonts w:ascii="Segoe UI" w:hAnsi="Segoe UI" w:cs="Segoe UI"/>
                            <w:lang w:val="en-IE"/>
                            <w14:ligatures w14:val="none"/>
                          </w:rPr>
                        </w:pPr>
                        <w:r>
                          <w:rPr>
                            <w:rFonts w:ascii="Segoe UI" w:hAnsi="Segoe UI" w:cs="Segoe UI"/>
                            <w:color w:val="000000"/>
                            <w:lang w:val="en-IE"/>
                            <w14:ligatures w14:val="none"/>
                          </w:rPr>
                          <w:t xml:space="preserve">On the 16 and 17 October 2025, the Lithuanian Ministry for Social Security and Labour hosted in Vilinius a Social Protection Committee Peer Review on ‘Social inclusion for families and children’. Peer countries were Czechia, Belgium, </w:t>
                        </w:r>
                        <w:proofErr w:type="gramStart"/>
                        <w:r>
                          <w:rPr>
                            <w:rFonts w:ascii="Segoe UI" w:hAnsi="Segoe UI" w:cs="Segoe UI"/>
                            <w:color w:val="000000"/>
                            <w:lang w:val="en-IE"/>
                            <w14:ligatures w14:val="none"/>
                          </w:rPr>
                          <w:t>Ireland</w:t>
                        </w:r>
                        <w:proofErr w:type="gramEnd"/>
                        <w:r>
                          <w:rPr>
                            <w:rFonts w:ascii="Segoe UI" w:hAnsi="Segoe UI" w:cs="Segoe UI"/>
                            <w:color w:val="000000"/>
                            <w:lang w:val="en-IE"/>
                            <w14:ligatures w14:val="none"/>
                          </w:rPr>
                          <w:t xml:space="preserve"> and Austria.</w:t>
                        </w:r>
                      </w:p>
                      <w:p w14:paraId="0836F0B6" w14:textId="77777777" w:rsidR="00DB6AB6" w:rsidRDefault="00DB6AB6" w:rsidP="00CB6A28">
                        <w:pPr>
                          <w:framePr w:hSpace="141" w:wrap="around" w:vAnchor="text" w:hAnchor="text"/>
                          <w:spacing w:after="120"/>
                          <w:ind w:right="301"/>
                          <w:jc w:val="both"/>
                          <w:rPr>
                            <w:rFonts w:ascii="Segoe UI" w:hAnsi="Segoe UI" w:cs="Segoe UI"/>
                            <w:lang w:val="en-IE"/>
                            <w14:ligatures w14:val="none"/>
                          </w:rPr>
                        </w:pPr>
                        <w:r>
                          <w:rPr>
                            <w:rFonts w:ascii="Segoe UI" w:hAnsi="Segoe UI" w:cs="Segoe UI"/>
                            <w:color w:val="000000"/>
                            <w:lang w:val="en-IE"/>
                            <w14:ligatures w14:val="none"/>
                          </w:rPr>
                          <w:t>The main objective of the Peer Review was to stimulate an in-depth and detailed discussion on some key aspects of the policy approach regarding equal access to family services in Lithuania, its implementation and challenges around rural-urban disparities, interinstitutional cooperation and the creation of a robust evaluation system.</w:t>
                        </w:r>
                      </w:p>
                      <w:p w14:paraId="3EBD1D15" w14:textId="77777777" w:rsidR="00DB6AB6" w:rsidRDefault="00DB6AB6" w:rsidP="00CB6A28">
                        <w:pPr>
                          <w:framePr w:hSpace="141" w:wrap="around" w:vAnchor="text" w:hAnchor="text"/>
                          <w:spacing w:after="120"/>
                          <w:ind w:right="301"/>
                          <w:jc w:val="both"/>
                          <w:rPr>
                            <w:rFonts w:ascii="Segoe UI" w:hAnsi="Segoe UI" w:cs="Segoe UI"/>
                            <w:lang w:val="en-IE"/>
                            <w14:ligatures w14:val="none"/>
                          </w:rPr>
                        </w:pPr>
                        <w:r>
                          <w:rPr>
                            <w:rFonts w:ascii="Segoe UI" w:hAnsi="Segoe UI" w:cs="Segoe UI"/>
                            <w:color w:val="000000"/>
                            <w:lang w:val="en-IE"/>
                            <w14:ligatures w14:val="none"/>
                          </w:rPr>
                          <w:t>The participants had the opportunity to reflect and exchange on similar or different policy approaches in the peer countries and potential future initiatives.</w:t>
                        </w:r>
                      </w:p>
                      <w:p w14:paraId="7811737C" w14:textId="77777777" w:rsidR="00DB6AB6" w:rsidRDefault="00DB6AB6" w:rsidP="00CB6A28">
                        <w:pPr>
                          <w:framePr w:hSpace="141" w:wrap="around" w:vAnchor="text" w:hAnchor="text"/>
                          <w:ind w:right="300"/>
                          <w:jc w:val="both"/>
                          <w:rPr>
                            <w:rFonts w:ascii="Segoe UI" w:hAnsi="Segoe UI" w:cs="Segoe UI"/>
                            <w:lang w:val="en-IE"/>
                            <w14:ligatures w14:val="none"/>
                          </w:rPr>
                        </w:pPr>
                        <w:r>
                          <w:rPr>
                            <w:rFonts w:ascii="Segoe UI" w:hAnsi="Segoe UI" w:cs="Segoe UI"/>
                            <w:color w:val="000000"/>
                            <w:lang w:val="en-IE"/>
                            <w14:ligatures w14:val="none"/>
                          </w:rPr>
                          <w:t xml:space="preserve">All relevant documents will be uploaded shortly </w:t>
                        </w:r>
                        <w:hyperlink r:id="rId20" w:history="1">
                          <w:r>
                            <w:rPr>
                              <w:rStyle w:val="Hiperligao"/>
                              <w:rFonts w:ascii="Segoe UI" w:hAnsi="Segoe UI" w:cs="Segoe UI"/>
                              <w:color w:val="0000FF"/>
                              <w:lang w:val="en-IE"/>
                              <w14:ligatures w14:val="none"/>
                            </w:rPr>
                            <w:t>here</w:t>
                          </w:r>
                        </w:hyperlink>
                        <w:r>
                          <w:rPr>
                            <w:rFonts w:ascii="Segoe UI" w:hAnsi="Segoe UI" w:cs="Segoe UI"/>
                            <w:color w:val="000000"/>
                            <w:lang w:val="en-IE"/>
                            <w14:ligatures w14:val="none"/>
                          </w:rPr>
                          <w:t>.</w:t>
                        </w:r>
                      </w:p>
                      <w:p w14:paraId="5088597A" w14:textId="77777777" w:rsidR="00DB6AB6" w:rsidRDefault="00DB6AB6" w:rsidP="00CB6A28">
                        <w:pPr>
                          <w:framePr w:hSpace="141" w:wrap="around" w:vAnchor="text" w:hAnchor="text"/>
                          <w:jc w:val="both"/>
                          <w:rPr>
                            <w:rFonts w:ascii="Segoe UI" w:hAnsi="Segoe UI" w:cs="Segoe UI"/>
                            <w:lang w:val="en-IE"/>
                            <w14:ligatures w14:val="none"/>
                          </w:rPr>
                        </w:pPr>
                      </w:p>
                      <w:p w14:paraId="19DD79DC" w14:textId="77777777" w:rsidR="00DB6AB6" w:rsidRDefault="00DB6AB6" w:rsidP="00CB6A28">
                        <w:pPr>
                          <w:framePr w:hSpace="141" w:wrap="around" w:vAnchor="text" w:hAnchor="text"/>
                          <w:spacing w:after="120"/>
                          <w:ind w:right="301"/>
                          <w:jc w:val="both"/>
                          <w:rPr>
                            <w:rFonts w:ascii="Segoe UI" w:hAnsi="Segoe UI" w:cs="Segoe UI"/>
                            <w:b/>
                            <w:bCs/>
                            <w:color w:val="0065A2"/>
                            <w:lang w:val="en-GB"/>
                            <w14:ligatures w14:val="none"/>
                          </w:rPr>
                        </w:pPr>
                        <w:r>
                          <w:rPr>
                            <w:rFonts w:ascii="Segoe UI" w:hAnsi="Segoe UI" w:cs="Segoe UI"/>
                            <w:b/>
                            <w:bCs/>
                            <w:color w:val="0065A2"/>
                            <w:lang w:val="en-GB"/>
                            <w14:ligatures w14:val="none"/>
                          </w:rPr>
                          <w:t>Meeting of Child Guarantee Coordinators on adequate housing and alternative care, Copenhagen 6-7 October</w:t>
                        </w:r>
                      </w:p>
                      <w:p w14:paraId="6098ACE9" w14:textId="68CEABC0" w:rsidR="00DB6AB6" w:rsidRDefault="00DB6AB6" w:rsidP="00CB6A28">
                        <w:pPr>
                          <w:framePr w:hSpace="141" w:wrap="around" w:vAnchor="text" w:hAnchor="text"/>
                          <w:spacing w:after="120"/>
                          <w:ind w:right="301"/>
                          <w:jc w:val="both"/>
                          <w:rPr>
                            <w:rFonts w:ascii="Times New Roman" w:hAnsi="Times New Roman" w:cs="Times New Roman"/>
                            <w:sz w:val="24"/>
                            <w:szCs w:val="24"/>
                            <w:lang w:val="en-IE"/>
                            <w14:ligatures w14:val="none"/>
                          </w:rPr>
                        </w:pPr>
                        <w:r>
                          <w:rPr>
                            <w:noProof/>
                          </w:rPr>
                          <w:drawing>
                            <wp:anchor distT="0" distB="0" distL="114300" distR="114300" simplePos="0" relativeHeight="251659264" behindDoc="1" locked="0" layoutInCell="1" allowOverlap="1" wp14:anchorId="4D8A1B79" wp14:editId="4804521B">
                              <wp:simplePos x="0" y="0"/>
                              <wp:positionH relativeFrom="column">
                                <wp:posOffset>2203450</wp:posOffset>
                              </wp:positionH>
                              <wp:positionV relativeFrom="paragraph">
                                <wp:posOffset>95250</wp:posOffset>
                              </wp:positionV>
                              <wp:extent cx="2914650" cy="2209800"/>
                              <wp:effectExtent l="0" t="0" r="0" b="0"/>
                              <wp:wrapThrough wrapText="bothSides">
                                <wp:wrapPolygon edited="0">
                                  <wp:start x="0" y="0"/>
                                  <wp:lineTo x="0" y="21414"/>
                                  <wp:lineTo x="21459" y="21414"/>
                                  <wp:lineTo x="21459" y="0"/>
                                  <wp:lineTo x="0" y="0"/>
                                </wp:wrapPolygon>
                              </wp:wrapThrough>
                              <wp:docPr id="96808655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4650" cy="2209800"/>
                                      </a:xfrm>
                                      <a:prstGeom prst="rect">
                                        <a:avLst/>
                                      </a:prstGeom>
                                      <a:noFill/>
                                    </pic:spPr>
                                  </pic:pic>
                                </a:graphicData>
                              </a:graphic>
                              <wp14:sizeRelH relativeFrom="margin">
                                <wp14:pctWidth>0</wp14:pctWidth>
                              </wp14:sizeRelH>
                              <wp14:sizeRelV relativeFrom="margin">
                                <wp14:pctHeight>0</wp14:pctHeight>
                              </wp14:sizeRelV>
                            </wp:anchor>
                          </w:drawing>
                        </w:r>
                        <w:r>
                          <w:rPr>
                            <w:rFonts w:ascii="Segoe UI" w:hAnsi="Segoe UI" w:cs="Segoe UI"/>
                            <w:color w:val="000000"/>
                            <w:lang w:val="en-IE"/>
                            <w14:ligatures w14:val="none"/>
                          </w:rPr>
                          <w:t>The 22nd meeting of the Child Guarantee Coordinators, held on 6–7 October under the Danish EU Presidency, brought together representatives from EU Member States and candidate and potential candidate countries to exchange best practices on tackling child poverty, improving alternative care, and ensuring access to quality housing. Opening the session, the European Commission highlighted the Child Guarantee’s growing impact and announced forthcoming initiatives, including an EU Affordable Housing Plan and the first-ever EU Anti-Poverty Strategy. Denmark presented its new Child Act and foster care reforms, while participants discussed quality-based family care, data gaps, and the use of EU funds to strengthen implementation. The meeting underscored cross-country cooperation and peer learning as essential to advancing children’s issues and inclusion across Europe.</w:t>
                        </w:r>
                        <w:r>
                          <w:rPr>
                            <w:rFonts w:ascii="Times New Roman" w:hAnsi="Times New Roman" w:cs="Times New Roman"/>
                            <w:color w:val="000000"/>
                            <w:sz w:val="24"/>
                            <w:szCs w:val="24"/>
                            <w:lang w:val="en-IE"/>
                            <w14:ligatures w14:val="none"/>
                          </w:rPr>
                          <w:t xml:space="preserve"> </w:t>
                        </w:r>
                      </w:p>
                      <w:p w14:paraId="5C2E4521" w14:textId="77777777" w:rsidR="00DB6AB6" w:rsidRDefault="00DB6AB6" w:rsidP="00CB6A28">
                        <w:pPr>
                          <w:framePr w:hSpace="141" w:wrap="around" w:vAnchor="text" w:hAnchor="text"/>
                          <w:spacing w:after="120"/>
                          <w:ind w:right="301"/>
                          <w:jc w:val="both"/>
                          <w:rPr>
                            <w:rFonts w:ascii="Segoe UI" w:hAnsi="Segoe UI" w:cs="Segoe UI"/>
                            <w:lang w:val="en-IE"/>
                            <w14:ligatures w14:val="none"/>
                          </w:rPr>
                        </w:pPr>
                      </w:p>
                      <w:p w14:paraId="52D4CCEC" w14:textId="77777777" w:rsidR="004D270B" w:rsidRDefault="004D270B" w:rsidP="00CB6A28">
                        <w:pPr>
                          <w:framePr w:hSpace="141" w:wrap="around" w:vAnchor="text" w:hAnchor="text"/>
                          <w:spacing w:after="120"/>
                          <w:ind w:right="301"/>
                          <w:jc w:val="both"/>
                          <w:rPr>
                            <w:rFonts w:ascii="Segoe UI" w:hAnsi="Segoe UI" w:cs="Segoe UI"/>
                            <w:lang w:val="en-IE"/>
                            <w14:ligatures w14:val="none"/>
                          </w:rPr>
                        </w:pPr>
                      </w:p>
                      <w:p w14:paraId="761EDEB3" w14:textId="77777777" w:rsidR="00DB6AB6" w:rsidRDefault="00DB6AB6" w:rsidP="00CB6A28">
                        <w:pPr>
                          <w:framePr w:hSpace="141" w:wrap="around" w:vAnchor="text" w:hAnchor="text"/>
                          <w:spacing w:after="120"/>
                          <w:ind w:right="301"/>
                          <w:jc w:val="both"/>
                          <w:rPr>
                            <w:rFonts w:ascii="Segoe UI" w:hAnsi="Segoe UI" w:cs="Segoe UI"/>
                            <w:b/>
                            <w:bCs/>
                            <w:color w:val="0065A2"/>
                            <w:lang w:val="en-GB"/>
                            <w14:ligatures w14:val="none"/>
                          </w:rPr>
                        </w:pPr>
                        <w:r>
                          <w:rPr>
                            <w:rFonts w:ascii="Segoe UI" w:hAnsi="Segoe UI" w:cs="Segoe UI"/>
                            <w:b/>
                            <w:bCs/>
                            <w:color w:val="0065A2"/>
                            <w:lang w:val="en-GB"/>
                            <w14:ligatures w14:val="none"/>
                          </w:rPr>
                          <w:lastRenderedPageBreak/>
                          <w:t xml:space="preserve">Join the Online European peer exchange on integrated family support - 19 November </w:t>
                        </w:r>
                      </w:p>
                      <w:p w14:paraId="19525F75" w14:textId="77777777" w:rsidR="00DB6AB6" w:rsidRDefault="00DB6AB6" w:rsidP="00CB6A28">
                        <w:pPr>
                          <w:framePr w:hSpace="141" w:wrap="around" w:vAnchor="text" w:hAnchor="text"/>
                          <w:spacing w:after="120"/>
                          <w:ind w:right="301"/>
                          <w:jc w:val="both"/>
                          <w:rPr>
                            <w:rFonts w:ascii="Segoe UI" w:hAnsi="Segoe UI" w:cs="Segoe UI"/>
                            <w:lang w:val="en-GB"/>
                            <w14:ligatures w14:val="none"/>
                          </w:rPr>
                        </w:pPr>
                        <w:r>
                          <w:rPr>
                            <w:rFonts w:ascii="Segoe UI" w:hAnsi="Segoe UI" w:cs="Segoe UI"/>
                            <w:color w:val="000000"/>
                            <w:lang w:val="en-GB"/>
                            <w14:ligatures w14:val="none"/>
                          </w:rPr>
                          <w:t xml:space="preserve">For International Children's Day 2025, COFACE Families Europe will place the spotlight on the European Child Guarantee and its potential to drive positive change for children and their families. This will be done through an online European peer exchange which will focus on the Belgian family centre model referred to as the House of the Child, as a starting point for transnational exchanges and mutual learning with other countries in the EU and neighbourhood countries. </w:t>
                        </w:r>
                      </w:p>
                      <w:p w14:paraId="0824CAAC" w14:textId="77777777" w:rsidR="00DB6AB6" w:rsidRDefault="00DB6AB6" w:rsidP="00CB6A28">
                        <w:pPr>
                          <w:framePr w:hSpace="141" w:wrap="around" w:vAnchor="text" w:hAnchor="text"/>
                          <w:spacing w:after="120"/>
                          <w:ind w:right="301"/>
                          <w:jc w:val="both"/>
                          <w:rPr>
                            <w:rFonts w:ascii="Segoe UI" w:hAnsi="Segoe UI" w:cs="Segoe UI"/>
                            <w:lang w:val="en-GB"/>
                            <w14:ligatures w14:val="none"/>
                          </w:rPr>
                        </w:pPr>
                        <w:r>
                          <w:rPr>
                            <w:rFonts w:ascii="Segoe UI" w:hAnsi="Segoe UI" w:cs="Segoe UI"/>
                            <w:color w:val="000000"/>
                            <w:lang w:val="en-GB"/>
                            <w14:ligatures w14:val="none"/>
                          </w:rPr>
                          <w:t xml:space="preserve">This public webinar will be open to policy makers, and Child Guarantee Coordinators are welcome to join the discussion to share updates on their approaches to integrated family support. Please feel free to share this information with colleagues (practitioners, policy makers and researchers) in your country working at local to national level to implement the European Child Guarantee. </w:t>
                        </w:r>
                      </w:p>
                      <w:p w14:paraId="067FE0AF" w14:textId="77777777" w:rsidR="00DB6AB6" w:rsidRDefault="00DB6AB6" w:rsidP="00CB6A28">
                        <w:pPr>
                          <w:framePr w:hSpace="141" w:wrap="around" w:vAnchor="text" w:hAnchor="text"/>
                          <w:spacing w:after="120"/>
                          <w:ind w:right="301"/>
                          <w:jc w:val="both"/>
                          <w:rPr>
                            <w:rFonts w:ascii="Segoe UI" w:hAnsi="Segoe UI" w:cs="Segoe UI"/>
                            <w:lang w:val="en-GB"/>
                            <w14:ligatures w14:val="none"/>
                          </w:rPr>
                        </w:pPr>
                        <w:r>
                          <w:rPr>
                            <w:rFonts w:ascii="Segoe UI" w:hAnsi="Segoe UI" w:cs="Segoe UI"/>
                            <w:color w:val="000000"/>
                            <w:lang w:val="en-GB"/>
                            <w14:ligatures w14:val="none"/>
                          </w:rPr>
                          <w:t xml:space="preserve">Programme, factsheets and registrations can be found on the COFACE website </w:t>
                        </w:r>
                        <w:hyperlink r:id="rId22" w:history="1">
                          <w:r>
                            <w:rPr>
                              <w:rStyle w:val="Hiperligao"/>
                              <w:rFonts w:ascii="Segoe UI" w:hAnsi="Segoe UI" w:cs="Segoe UI"/>
                              <w:color w:val="0000FF"/>
                              <w:lang w:val="en-GB"/>
                              <w14:ligatures w14:val="none"/>
                            </w:rPr>
                            <w:t>here</w:t>
                          </w:r>
                        </w:hyperlink>
                        <w:r>
                          <w:rPr>
                            <w:rFonts w:ascii="Segoe UI" w:hAnsi="Segoe UI" w:cs="Segoe UI"/>
                            <w:color w:val="000000"/>
                            <w:lang w:val="en-GB"/>
                            <w14:ligatures w14:val="none"/>
                          </w:rPr>
                          <w:t>.</w:t>
                        </w:r>
                      </w:p>
                      <w:p w14:paraId="72DB55E4" w14:textId="77777777" w:rsidR="00DB6AB6" w:rsidRDefault="00DB6AB6" w:rsidP="00CB6A28">
                        <w:pPr>
                          <w:framePr w:hSpace="141" w:wrap="around" w:vAnchor="text" w:hAnchor="text"/>
                          <w:spacing w:after="120"/>
                          <w:ind w:right="301"/>
                          <w:jc w:val="both"/>
                          <w:rPr>
                            <w:rFonts w:ascii="Segoe UI" w:hAnsi="Segoe UI" w:cs="Segoe UI"/>
                            <w:b/>
                            <w:bCs/>
                            <w:color w:val="0065A2"/>
                            <w:lang w:val="en-GB"/>
                            <w14:ligatures w14:val="none"/>
                          </w:rPr>
                        </w:pPr>
                      </w:p>
                      <w:p w14:paraId="637AEE22" w14:textId="77777777" w:rsidR="00DB6AB6" w:rsidRDefault="00DB6AB6" w:rsidP="00CB6A28">
                        <w:pPr>
                          <w:framePr w:hSpace="141" w:wrap="around" w:vAnchor="text" w:hAnchor="text"/>
                          <w:spacing w:after="120"/>
                          <w:ind w:right="301"/>
                          <w:jc w:val="both"/>
                          <w:rPr>
                            <w:rFonts w:ascii="Segoe UI" w:hAnsi="Segoe UI" w:cs="Segoe UI"/>
                            <w:b/>
                            <w:bCs/>
                            <w:color w:val="0065A2"/>
                            <w:lang w:val="en-GB"/>
                            <w14:ligatures w14:val="none"/>
                          </w:rPr>
                        </w:pPr>
                        <w:r>
                          <w:rPr>
                            <w:rFonts w:ascii="Segoe UI" w:hAnsi="Segoe UI" w:cs="Segoe UI"/>
                            <w:b/>
                            <w:bCs/>
                            <w:color w:val="0065A2"/>
                            <w:lang w:val="en-GB"/>
                            <w14:ligatures w14:val="none"/>
                          </w:rPr>
                          <w:t>Child Guarantee outside EU</w:t>
                        </w:r>
                      </w:p>
                      <w:p w14:paraId="7E0E742D" w14:textId="1096131B" w:rsidR="004D270B" w:rsidRPr="004D270B" w:rsidRDefault="00DB6AB6" w:rsidP="00CB6A28">
                        <w:pPr>
                          <w:framePr w:hSpace="141" w:wrap="around" w:vAnchor="text" w:hAnchor="text"/>
                          <w:spacing w:after="120"/>
                          <w:ind w:right="301"/>
                          <w:jc w:val="both"/>
                          <w:rPr>
                            <w:rFonts w:ascii="Segoe UI" w:hAnsi="Segoe UI" w:cs="Segoe UI"/>
                            <w:color w:val="000000"/>
                            <w:lang w:val="en-IE"/>
                            <w14:ligatures w14:val="none"/>
                          </w:rPr>
                        </w:pPr>
                        <w:r>
                          <w:rPr>
                            <w:rFonts w:ascii="Segoe UI" w:hAnsi="Segoe UI" w:cs="Segoe UI"/>
                            <w:color w:val="000000"/>
                            <w:lang w:val="en-IE"/>
                            <w14:ligatures w14:val="none"/>
                          </w:rPr>
                          <w:t xml:space="preserve">One of the things that prove the success and importance of the European Child Guarantee is the interest it has received in the EU candidate and potential candidate countries. In fact, nine countries – Albania, Bosnia and Herzegovina, </w:t>
                        </w:r>
                        <w:proofErr w:type="gramStart"/>
                        <w:r>
                          <w:rPr>
                            <w:rFonts w:ascii="Segoe UI" w:hAnsi="Segoe UI" w:cs="Segoe UI"/>
                            <w:color w:val="000000"/>
                            <w:lang w:val="en-IE"/>
                            <w14:ligatures w14:val="none"/>
                          </w:rPr>
                          <w:t>Kosovo</w:t>
                        </w:r>
                        <w:r w:rsidRPr="00DB6AB6">
                          <w:rPr>
                            <w:color w:val="000000"/>
                            <w:vertAlign w:val="superscript"/>
                            <w:lang w:val="en-US"/>
                            <w14:ligatures w14:val="none"/>
                          </w:rPr>
                          <w:footnoteReference w:customMarkFollows="1" w:id="1"/>
                          <w:t>[</w:t>
                        </w:r>
                        <w:proofErr w:type="gramEnd"/>
                        <w:r w:rsidRPr="00DB6AB6">
                          <w:rPr>
                            <w:color w:val="000000"/>
                            <w:vertAlign w:val="superscript"/>
                            <w:lang w:val="en-US"/>
                            <w14:ligatures w14:val="none"/>
                          </w:rPr>
                          <w:t>1]</w:t>
                        </w:r>
                        <w:r>
                          <w:rPr>
                            <w:rFonts w:ascii="Segoe UI" w:hAnsi="Segoe UI" w:cs="Segoe UI"/>
                            <w:color w:val="000000"/>
                            <w:lang w:val="en-IE"/>
                            <w14:ligatures w14:val="none"/>
                          </w:rPr>
                          <w:t>, Moldova, Montenegro, North Macedonia, Serbia, Türkiye, and Ukraine – are interested in implementing the child guarantee recommendation already before accession to the European Union. To do so, they have nominated the contact points, who will play a role like that of Child Guarantee Coordinators in the current member states and will start working on strategies/action plans addressing children in need. The Commission has also shared guidance explaining the practicalities of the implementation of the Child Guarantee. An on-line information session for the Contact Points took place in September. On 20-21 November, a further technical meeting financed by the European Commission under the TAIEX Facility will take place in Podgorica (Montenegro).</w:t>
                        </w:r>
                      </w:p>
                    </w:tc>
                  </w:tr>
                </w:tbl>
                <w:p w14:paraId="0FA1B701" w14:textId="77777777" w:rsidR="00DB6AB6" w:rsidRPr="00DB6AB6" w:rsidRDefault="00DB6AB6" w:rsidP="00CB6A28">
                  <w:pPr>
                    <w:framePr w:hSpace="141" w:wrap="around" w:vAnchor="text" w:hAnchor="text"/>
                    <w:jc w:val="center"/>
                    <w:rPr>
                      <w:rFonts w:ascii="Times New Roman" w:eastAsia="Times New Roman" w:hAnsi="Times New Roman" w:cs="Times New Roman"/>
                      <w:sz w:val="20"/>
                      <w:szCs w:val="20"/>
                      <w:lang w:val="en-US" w:eastAsia="pt-PT"/>
                      <w14:ligatures w14:val="none"/>
                    </w:rPr>
                  </w:pPr>
                </w:p>
              </w:tc>
            </w:tr>
            <w:tr w:rsidR="00DB6AB6" w:rsidRPr="00DB6AB6" w14:paraId="505E7283" w14:textId="77777777">
              <w:trPr>
                <w:jc w:val="center"/>
              </w:trPr>
              <w:tc>
                <w:tcPr>
                  <w:tcW w:w="0" w:type="auto"/>
                  <w:shd w:val="clear" w:color="auto" w:fill="ECEBEB"/>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DB6AB6" w:rsidRPr="00DB6AB6" w14:paraId="0F5E71F0" w14:textId="77777777">
                    <w:trPr>
                      <w:jc w:val="center"/>
                    </w:trPr>
                    <w:tc>
                      <w:tcPr>
                        <w:tcW w:w="0" w:type="auto"/>
                        <w:shd w:val="clear" w:color="auto" w:fill="FFFFFF"/>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DB6AB6" w:rsidRPr="00DB6AB6" w14:paraId="2E06D7CE" w14:textId="77777777">
                          <w:trPr>
                            <w:jc w:val="center"/>
                          </w:trPr>
                          <w:tc>
                            <w:tcPr>
                              <w:tcW w:w="0" w:type="auto"/>
                              <w:vAlign w:val="center"/>
                              <w:hideMark/>
                            </w:tcPr>
                            <w:p w14:paraId="0DB68487" w14:textId="77777777" w:rsidR="00DB6AB6" w:rsidRPr="00DB6AB6" w:rsidRDefault="00DB6AB6" w:rsidP="00CB6A28">
                              <w:pPr>
                                <w:framePr w:hSpace="141" w:wrap="around" w:vAnchor="text" w:hAnchor="text"/>
                                <w:rPr>
                                  <w:rFonts w:ascii="Times New Roman" w:eastAsia="Times New Roman" w:hAnsi="Times New Roman" w:cs="Times New Roman"/>
                                  <w:sz w:val="20"/>
                                  <w:szCs w:val="20"/>
                                  <w:lang w:val="en-US" w:eastAsia="pt-PT"/>
                                  <w14:ligatures w14:val="none"/>
                                </w:rPr>
                              </w:pPr>
                            </w:p>
                          </w:tc>
                        </w:tr>
                      </w:tbl>
                      <w:p w14:paraId="5791CC7B" w14:textId="77777777" w:rsidR="00DB6AB6" w:rsidRPr="00DB6AB6" w:rsidRDefault="00DB6AB6" w:rsidP="00CB6A28">
                        <w:pPr>
                          <w:framePr w:hSpace="141" w:wrap="around" w:vAnchor="text" w:hAnchor="text"/>
                          <w:jc w:val="center"/>
                          <w:rPr>
                            <w:rFonts w:ascii="Times New Roman" w:eastAsia="Times New Roman" w:hAnsi="Times New Roman" w:cs="Times New Roman"/>
                            <w:sz w:val="20"/>
                            <w:szCs w:val="20"/>
                            <w:lang w:val="en-US" w:eastAsia="pt-PT"/>
                            <w14:ligatures w14:val="none"/>
                          </w:rPr>
                        </w:pPr>
                      </w:p>
                    </w:tc>
                  </w:tr>
                </w:tbl>
                <w:p w14:paraId="3545C334" w14:textId="77777777" w:rsidR="00DB6AB6" w:rsidRPr="00DB6AB6" w:rsidRDefault="00DB6AB6" w:rsidP="00CB6A28">
                  <w:pPr>
                    <w:framePr w:hSpace="141" w:wrap="around" w:vAnchor="text" w:hAnchor="text"/>
                    <w:jc w:val="center"/>
                    <w:rPr>
                      <w:rFonts w:ascii="Times New Roman" w:eastAsia="Times New Roman" w:hAnsi="Times New Roman" w:cs="Times New Roman"/>
                      <w:sz w:val="20"/>
                      <w:szCs w:val="20"/>
                      <w:lang w:val="en-US" w:eastAsia="pt-PT"/>
                      <w14:ligatures w14:val="none"/>
                    </w:rPr>
                  </w:pPr>
                </w:p>
              </w:tc>
            </w:tr>
          </w:tbl>
          <w:p w14:paraId="525BF683" w14:textId="77777777" w:rsidR="00DB6AB6" w:rsidRPr="00DB6AB6" w:rsidRDefault="00DB6AB6" w:rsidP="00CB6A28">
            <w:pPr>
              <w:jc w:val="center"/>
              <w:rPr>
                <w:rFonts w:ascii="Times New Roman" w:eastAsia="Times New Roman" w:hAnsi="Times New Roman" w:cs="Times New Roman"/>
                <w:sz w:val="20"/>
                <w:szCs w:val="20"/>
                <w:lang w:val="en-US" w:eastAsia="pt-PT"/>
                <w14:ligatures w14:val="none"/>
              </w:rPr>
            </w:pPr>
          </w:p>
        </w:tc>
      </w:tr>
      <w:tr w:rsidR="004D270B" w14:paraId="56A5BC14" w14:textId="77777777" w:rsidTr="004D270B">
        <w:trPr>
          <w:gridAfter w:val="1"/>
          <w:wAfter w:w="236" w:type="dxa"/>
        </w:trPr>
        <w:tc>
          <w:tcPr>
            <w:tcW w:w="9026" w:type="dxa"/>
            <w:shd w:val="clear" w:color="auto" w:fill="0065A2"/>
            <w:tcMar>
              <w:top w:w="405" w:type="dxa"/>
              <w:left w:w="300" w:type="dxa"/>
              <w:bottom w:w="150" w:type="dxa"/>
              <w:right w:w="300" w:type="dxa"/>
            </w:tcMar>
            <w:vAlign w:val="center"/>
            <w:hideMark/>
          </w:tcPr>
          <w:p w14:paraId="6EE4B2A1" w14:textId="77777777" w:rsidR="004D270B" w:rsidRDefault="004D270B" w:rsidP="00CB6A28">
            <w:pPr>
              <w:jc w:val="center"/>
              <w:rPr>
                <w:rFonts w:ascii="Segoe UI Light" w:hAnsi="Segoe UI Light" w:cs="Segoe UI Light"/>
                <w:color w:val="878787"/>
                <w:sz w:val="30"/>
                <w:szCs w:val="30"/>
                <w14:ligatures w14:val="none"/>
              </w:rPr>
            </w:pPr>
            <w:r>
              <w:rPr>
                <w:rFonts w:ascii="Segoe UI Light" w:hAnsi="Segoe UI Light" w:cs="Segoe UI Light"/>
                <w:b/>
                <w:bCs/>
                <w:color w:val="FFFFFF"/>
                <w:sz w:val="30"/>
                <w:szCs w:val="30"/>
                <w14:ligatures w14:val="none"/>
              </w:rPr>
              <w:lastRenderedPageBreak/>
              <w:t>Read more</w:t>
            </w:r>
          </w:p>
        </w:tc>
      </w:tr>
    </w:tbl>
    <w:tbl>
      <w:tblPr>
        <w:tblW w:w="9930" w:type="dxa"/>
        <w:shd w:val="clear" w:color="auto" w:fill="FFFFFF"/>
        <w:tblCellMar>
          <w:left w:w="0" w:type="dxa"/>
          <w:right w:w="0" w:type="dxa"/>
        </w:tblCellMar>
        <w:tblLook w:val="04A0" w:firstRow="1" w:lastRow="0" w:firstColumn="1" w:lastColumn="0" w:noHBand="0" w:noVBand="1"/>
      </w:tblPr>
      <w:tblGrid>
        <w:gridCol w:w="9930"/>
      </w:tblGrid>
      <w:tr w:rsidR="004D270B" w:rsidRPr="004D270B" w14:paraId="1A3F04DA" w14:textId="77777777" w:rsidTr="004D270B">
        <w:tc>
          <w:tcPr>
            <w:tcW w:w="0" w:type="auto"/>
            <w:shd w:val="clear" w:color="auto" w:fill="FFFFFF"/>
            <w:tcMar>
              <w:top w:w="150" w:type="dxa"/>
              <w:left w:w="300" w:type="dxa"/>
              <w:bottom w:w="105" w:type="dxa"/>
              <w:right w:w="300" w:type="dxa"/>
            </w:tcMar>
            <w:vAlign w:val="center"/>
          </w:tcPr>
          <w:p w14:paraId="6ADED623" w14:textId="77777777" w:rsidR="004D270B" w:rsidRDefault="004D270B" w:rsidP="00CB6A28">
            <w:pPr>
              <w:spacing w:after="120"/>
              <w:ind w:right="301"/>
              <w:jc w:val="both"/>
              <w:rPr>
                <w:rFonts w:ascii="Segoe UI" w:hAnsi="Segoe UI" w:cs="Segoe UI"/>
                <w:b/>
                <w:bCs/>
                <w:color w:val="0065A2"/>
                <w:lang w:val="en-IE"/>
                <w14:ligatures w14:val="none"/>
              </w:rPr>
            </w:pPr>
          </w:p>
          <w:p w14:paraId="3C9119C6" w14:textId="77777777" w:rsidR="004D270B" w:rsidRDefault="004D270B" w:rsidP="00CB6A28">
            <w:pPr>
              <w:spacing w:after="120"/>
              <w:ind w:right="301"/>
              <w:jc w:val="both"/>
              <w:rPr>
                <w:rFonts w:ascii="Segoe UI" w:hAnsi="Segoe UI" w:cs="Segoe UI"/>
                <w:b/>
                <w:bCs/>
                <w:color w:val="0065A2"/>
                <w:lang w:val="en-IE"/>
                <w14:ligatures w14:val="none"/>
              </w:rPr>
            </w:pPr>
          </w:p>
          <w:p w14:paraId="1DF2FDC9" w14:textId="77777777" w:rsidR="004D270B" w:rsidRDefault="004D270B" w:rsidP="00CB6A28">
            <w:pPr>
              <w:spacing w:after="120"/>
              <w:ind w:right="301"/>
              <w:jc w:val="both"/>
              <w:rPr>
                <w:rFonts w:ascii="Segoe UI" w:hAnsi="Segoe UI" w:cs="Segoe UI"/>
                <w:b/>
                <w:bCs/>
                <w:color w:val="0065A2"/>
                <w:lang w:val="en-IE"/>
                <w14:ligatures w14:val="none"/>
              </w:rPr>
            </w:pPr>
          </w:p>
          <w:p w14:paraId="048219BD" w14:textId="77777777" w:rsidR="004D270B" w:rsidRDefault="004D270B" w:rsidP="00CB6A28">
            <w:pPr>
              <w:spacing w:after="120"/>
              <w:ind w:right="301"/>
              <w:jc w:val="both"/>
              <w:rPr>
                <w:rFonts w:ascii="Segoe UI" w:hAnsi="Segoe UI" w:cs="Segoe UI"/>
                <w:b/>
                <w:bCs/>
                <w:color w:val="0065A2"/>
                <w:lang w:val="en-IE"/>
                <w14:ligatures w14:val="none"/>
              </w:rPr>
            </w:pPr>
          </w:p>
          <w:p w14:paraId="694EBA79" w14:textId="0DFED6C6" w:rsidR="004D270B" w:rsidRDefault="004D270B" w:rsidP="00CB6A28">
            <w:pPr>
              <w:spacing w:after="120"/>
              <w:ind w:right="301"/>
              <w:jc w:val="both"/>
              <w:rPr>
                <w:rFonts w:ascii="Segoe UI" w:hAnsi="Segoe UI" w:cs="Segoe UI"/>
                <w:b/>
                <w:bCs/>
                <w:color w:val="0065A2"/>
                <w:lang w:val="en-IE"/>
                <w14:ligatures w14:val="none"/>
              </w:rPr>
            </w:pPr>
            <w:r>
              <w:rPr>
                <w:rFonts w:ascii="Segoe UI" w:hAnsi="Segoe UI" w:cs="Segoe UI"/>
                <w:b/>
                <w:bCs/>
                <w:color w:val="0065A2"/>
                <w:lang w:val="en-IE"/>
                <w14:ligatures w14:val="none"/>
              </w:rPr>
              <w:lastRenderedPageBreak/>
              <w:t xml:space="preserve">New Save the Children Child Poverty Report shows why investment in children is Europe’s most urgent </w:t>
            </w:r>
            <w:proofErr w:type="gramStart"/>
            <w:r>
              <w:rPr>
                <w:rFonts w:ascii="Segoe UI" w:hAnsi="Segoe UI" w:cs="Segoe UI"/>
                <w:b/>
                <w:bCs/>
                <w:color w:val="0065A2"/>
                <w:lang w:val="en-IE"/>
                <w14:ligatures w14:val="none"/>
              </w:rPr>
              <w:t>necessity</w:t>
            </w:r>
            <w:proofErr w:type="gramEnd"/>
          </w:p>
          <w:p w14:paraId="0C54A4CD" w14:textId="1C88CF15" w:rsidR="004D270B" w:rsidRDefault="004D270B" w:rsidP="00CB6A28">
            <w:pPr>
              <w:spacing w:after="120"/>
              <w:ind w:right="301"/>
              <w:jc w:val="both"/>
              <w:rPr>
                <w:rFonts w:ascii="Segoe UI" w:hAnsi="Segoe UI" w:cs="Segoe UI"/>
                <w:u w:val="single"/>
                <w:lang w:val="en-IE"/>
                <w14:ligatures w14:val="none"/>
              </w:rPr>
            </w:pPr>
            <w:r>
              <w:rPr>
                <w:noProof/>
              </w:rPr>
              <w:drawing>
                <wp:anchor distT="0" distB="0" distL="114300" distR="114300" simplePos="0" relativeHeight="251661312" behindDoc="1" locked="0" layoutInCell="1" allowOverlap="1" wp14:anchorId="6AFBE4B1" wp14:editId="69B69541">
                  <wp:simplePos x="0" y="0"/>
                  <wp:positionH relativeFrom="column">
                    <wp:posOffset>-2172970</wp:posOffset>
                  </wp:positionH>
                  <wp:positionV relativeFrom="paragraph">
                    <wp:posOffset>-2540</wp:posOffset>
                  </wp:positionV>
                  <wp:extent cx="2070100" cy="2609850"/>
                  <wp:effectExtent l="0" t="0" r="6350" b="0"/>
                  <wp:wrapTight wrapText="bothSides">
                    <wp:wrapPolygon edited="0">
                      <wp:start x="0" y="0"/>
                      <wp:lineTo x="0" y="21442"/>
                      <wp:lineTo x="21467" y="21442"/>
                      <wp:lineTo x="21467" y="0"/>
                      <wp:lineTo x="0" y="0"/>
                    </wp:wrapPolygon>
                  </wp:wrapTight>
                  <wp:docPr id="1365059105"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0100" cy="2609850"/>
                          </a:xfrm>
                          <a:prstGeom prst="rect">
                            <a:avLst/>
                          </a:prstGeom>
                          <a:noFill/>
                        </pic:spPr>
                      </pic:pic>
                    </a:graphicData>
                  </a:graphic>
                  <wp14:sizeRelH relativeFrom="margin">
                    <wp14:pctWidth>0</wp14:pctWidth>
                  </wp14:sizeRelH>
                  <wp14:sizeRelV relativeFrom="margin">
                    <wp14:pctHeight>0</wp14:pctHeight>
                  </wp14:sizeRelV>
                </wp:anchor>
              </w:drawing>
            </w:r>
            <w:r>
              <w:rPr>
                <w:rFonts w:ascii="Segoe UI" w:hAnsi="Segoe UI" w:cs="Segoe UI"/>
                <w:color w:val="000000"/>
                <w:lang w:val="en-IE"/>
                <w14:ligatures w14:val="none"/>
              </w:rPr>
              <w:t xml:space="preserve">The new report challenges the conviction that child poverty is unavoidable and a phenomenon that Europe lacks the resources to eradicate. It presents a data-driven, rights-based analysis of its scale, its staggering economic and social costs, and the proven solutions that can end it. To achieve its goal of eradicating poverty by 2050, the EU must prioritise the strengthening of its social agenda and ensure adequate investments in children. Read more </w:t>
            </w:r>
            <w:hyperlink r:id="rId24" w:history="1">
              <w:r>
                <w:rPr>
                  <w:rStyle w:val="Hiperligao"/>
                  <w:rFonts w:ascii="Segoe UI" w:hAnsi="Segoe UI" w:cs="Segoe UI"/>
                  <w:color w:val="000000"/>
                  <w:lang w:val="en-IE"/>
                  <w14:ligatures w14:val="none"/>
                </w:rPr>
                <w:t>here</w:t>
              </w:r>
            </w:hyperlink>
            <w:r>
              <w:rPr>
                <w:rFonts w:ascii="Segoe UI" w:hAnsi="Segoe UI" w:cs="Segoe UI"/>
                <w:color w:val="000000"/>
                <w:u w:val="single"/>
                <w:lang w:val="en-IE"/>
                <w14:ligatures w14:val="none"/>
              </w:rPr>
              <w:t>.</w:t>
            </w:r>
          </w:p>
          <w:p w14:paraId="26431514" w14:textId="77777777" w:rsidR="004D270B" w:rsidRDefault="004D270B" w:rsidP="00CB6A28">
            <w:pPr>
              <w:spacing w:after="120"/>
              <w:ind w:right="301"/>
              <w:jc w:val="both"/>
              <w:rPr>
                <w:rFonts w:ascii="Segoe UI" w:hAnsi="Segoe UI" w:cs="Segoe UI"/>
                <w:u w:val="single"/>
                <w:lang w:val="en-IE"/>
                <w14:ligatures w14:val="none"/>
              </w:rPr>
            </w:pPr>
          </w:p>
          <w:p w14:paraId="768C7A7A" w14:textId="77777777" w:rsidR="004D270B" w:rsidRDefault="004D270B" w:rsidP="00CB6A28">
            <w:pPr>
              <w:spacing w:after="120"/>
              <w:ind w:right="301"/>
              <w:jc w:val="both"/>
              <w:rPr>
                <w:rFonts w:ascii="Segoe UI" w:hAnsi="Segoe UI" w:cs="Segoe UI"/>
                <w:b/>
                <w:bCs/>
                <w:color w:val="0065A2"/>
                <w:lang w:val="en-IE"/>
                <w14:ligatures w14:val="none"/>
              </w:rPr>
            </w:pPr>
            <w:r>
              <w:rPr>
                <w:rFonts w:ascii="Segoe UI" w:hAnsi="Segoe UI" w:cs="Segoe UI"/>
                <w:b/>
                <w:bCs/>
                <w:color w:val="0065A2"/>
                <w:lang w:val="en-IE"/>
                <w14:ligatures w14:val="none"/>
              </w:rPr>
              <w:t>Global Report on Children’s Care and Protection looks at</w:t>
            </w:r>
            <w:r>
              <w:rPr>
                <w:rFonts w:ascii="Segoe UI" w:hAnsi="Segoe UI" w:cs="Segoe UI"/>
                <w:color w:val="000000"/>
                <w:sz w:val="18"/>
                <w:szCs w:val="18"/>
                <w:lang w:val="en-IE"/>
                <w14:ligatures w14:val="none"/>
              </w:rPr>
              <w:t xml:space="preserve"> </w:t>
            </w:r>
            <w:r>
              <w:rPr>
                <w:rFonts w:ascii="Segoe UI" w:hAnsi="Segoe UI" w:cs="Segoe UI"/>
                <w:b/>
                <w:bCs/>
                <w:color w:val="0065A2"/>
                <w:lang w:val="en-IE"/>
                <w14:ligatures w14:val="none"/>
              </w:rPr>
              <w:t xml:space="preserve">preventing the separation of children from their </w:t>
            </w:r>
            <w:proofErr w:type="gramStart"/>
            <w:r>
              <w:rPr>
                <w:rFonts w:ascii="Segoe UI" w:hAnsi="Segoe UI" w:cs="Segoe UI"/>
                <w:b/>
                <w:bCs/>
                <w:color w:val="0065A2"/>
                <w:lang w:val="en-IE"/>
                <w14:ligatures w14:val="none"/>
              </w:rPr>
              <w:t>families</w:t>
            </w:r>
            <w:proofErr w:type="gramEnd"/>
          </w:p>
          <w:p w14:paraId="06438ED6" w14:textId="77777777" w:rsidR="004D270B" w:rsidRDefault="004D270B" w:rsidP="00CB6A28">
            <w:pPr>
              <w:spacing w:after="120"/>
              <w:ind w:right="301"/>
              <w:jc w:val="both"/>
              <w:rPr>
                <w:rFonts w:ascii="Segoe UI" w:hAnsi="Segoe UI" w:cs="Segoe UI"/>
                <w:lang w:val="en-IE"/>
                <w14:ligatures w14:val="none"/>
              </w:rPr>
            </w:pPr>
            <w:r>
              <w:rPr>
                <w:rFonts w:ascii="Segoe UI" w:hAnsi="Segoe UI" w:cs="Segoe UI"/>
                <w:color w:val="000000"/>
                <w:lang w:val="en-IE"/>
                <w14:ligatures w14:val="none"/>
              </w:rPr>
              <w:t xml:space="preserve">This SOS Villages International report seeks to deepen understanding of the factors driving the separation of children from their families and their placement in alternative care, across diverse contexts, offering key recommendations for preventing separation. Compiled from research conducted over two years at both global and country levels in collaboration with </w:t>
            </w:r>
            <w:proofErr w:type="gramStart"/>
            <w:r>
              <w:rPr>
                <w:rFonts w:ascii="Segoe UI" w:hAnsi="Segoe UI" w:cs="Segoe UI"/>
                <w:color w:val="000000"/>
                <w:lang w:val="en-IE"/>
                <w14:ligatures w14:val="none"/>
              </w:rPr>
              <w:t>several</w:t>
            </w:r>
            <w:proofErr w:type="gramEnd"/>
            <w:r>
              <w:rPr>
                <w:rFonts w:ascii="Segoe UI" w:hAnsi="Segoe UI" w:cs="Segoe UI"/>
                <w:color w:val="000000"/>
                <w:lang w:val="en-IE"/>
                <w14:ligatures w14:val="none"/>
              </w:rPr>
              <w:t xml:space="preserve"> academic institutions, this report responds to a growing care crisis that affects millions of children and their families worldwide. Read it </w:t>
            </w:r>
            <w:hyperlink r:id="rId25" w:history="1">
              <w:r>
                <w:rPr>
                  <w:rStyle w:val="Hiperligao"/>
                  <w:rFonts w:ascii="Segoe UI" w:hAnsi="Segoe UI" w:cs="Segoe UI"/>
                  <w:color w:val="0000FF"/>
                  <w:lang w:val="en-IE"/>
                  <w14:ligatures w14:val="none"/>
                </w:rPr>
                <w:t>here</w:t>
              </w:r>
            </w:hyperlink>
            <w:r>
              <w:rPr>
                <w:rFonts w:ascii="Segoe UI" w:hAnsi="Segoe UI" w:cs="Segoe UI"/>
                <w:color w:val="000000"/>
                <w:lang w:val="en-IE"/>
                <w14:ligatures w14:val="none"/>
              </w:rPr>
              <w:t>.</w:t>
            </w:r>
          </w:p>
          <w:p w14:paraId="68CB6C99" w14:textId="77777777" w:rsidR="004D270B" w:rsidRDefault="004D270B" w:rsidP="00CB6A28">
            <w:pPr>
              <w:spacing w:after="120"/>
              <w:ind w:right="301"/>
              <w:jc w:val="both"/>
              <w:rPr>
                <w:rFonts w:ascii="Segoe UI" w:hAnsi="Segoe UI" w:cs="Segoe UI"/>
                <w:b/>
                <w:bCs/>
                <w:color w:val="0065A2"/>
                <w:lang w:val="en-IE"/>
                <w14:ligatures w14:val="none"/>
              </w:rPr>
            </w:pPr>
          </w:p>
          <w:p w14:paraId="5F122703" w14:textId="77777777" w:rsidR="004D270B" w:rsidRDefault="004D270B" w:rsidP="00CB6A28">
            <w:pPr>
              <w:spacing w:after="120"/>
              <w:ind w:right="301"/>
              <w:jc w:val="both"/>
              <w:rPr>
                <w:rFonts w:ascii="Segoe UI" w:hAnsi="Segoe UI" w:cs="Segoe UI"/>
                <w:b/>
                <w:bCs/>
                <w:color w:val="0065A2"/>
                <w:lang w:val="en-IE"/>
                <w14:ligatures w14:val="none"/>
              </w:rPr>
            </w:pPr>
            <w:r>
              <w:rPr>
                <w:rFonts w:ascii="Segoe UI" w:hAnsi="Segoe UI" w:cs="Segoe UI"/>
                <w:b/>
                <w:bCs/>
                <w:color w:val="0065A2"/>
                <w:lang w:val="en-IE"/>
                <w14:ligatures w14:val="none"/>
              </w:rPr>
              <w:t>Eurochild calls for the Strategic Role of the European Semester in Advancing Children’s Rights and Securing Child-Centred Investments</w:t>
            </w:r>
          </w:p>
          <w:p w14:paraId="566F7A7A" w14:textId="77777777" w:rsidR="004D270B" w:rsidRDefault="004D270B" w:rsidP="00CB6A28">
            <w:pPr>
              <w:spacing w:after="120"/>
              <w:ind w:right="301"/>
              <w:jc w:val="both"/>
              <w:rPr>
                <w:rFonts w:ascii="Segoe UI" w:hAnsi="Segoe UI" w:cs="Segoe UI"/>
                <w:lang w:val="en-IE"/>
                <w14:ligatures w14:val="none"/>
              </w:rPr>
            </w:pPr>
            <w:r>
              <w:rPr>
                <w:rFonts w:ascii="Segoe UI" w:hAnsi="Segoe UI" w:cs="Segoe UI"/>
                <w:color w:val="000000"/>
                <w:lang w:val="en-IE"/>
                <w14:ligatures w14:val="none"/>
              </w:rPr>
              <w:t>Eurochild has been analysing the European Semester’s through a children’s rights lens for the past 10 years, providing critical insights into how EU economic and social policies impact children.</w:t>
            </w:r>
          </w:p>
          <w:p w14:paraId="0DBA72BD" w14:textId="77777777" w:rsidR="004D270B" w:rsidRDefault="004D270B" w:rsidP="00CB6A28">
            <w:pPr>
              <w:ind w:right="300"/>
              <w:jc w:val="both"/>
              <w:rPr>
                <w:rFonts w:ascii="Segoe UI" w:hAnsi="Segoe UI" w:cs="Segoe UI"/>
                <w:lang w:val="en-IE"/>
                <w14:ligatures w14:val="none"/>
              </w:rPr>
            </w:pPr>
            <w:r>
              <w:rPr>
                <w:rFonts w:ascii="Segoe UI" w:hAnsi="Segoe UI" w:cs="Segoe UI"/>
                <w:color w:val="000000"/>
                <w:lang w:val="en-IE"/>
                <w14:ligatures w14:val="none"/>
              </w:rPr>
              <w:t xml:space="preserve">In 2025, now in the fourth year of the European Child Guarantee (ECG) implementation, the European Semester Country Reports for all Member States include, for the first time, updates on progress. Eurochild welcomes that each report now summarises the state of ECG implementation alongside information from biennial reports and EU fund allocations. Read more </w:t>
            </w:r>
            <w:hyperlink r:id="rId26" w:history="1">
              <w:r>
                <w:rPr>
                  <w:rStyle w:val="Hiperligao"/>
                  <w:rFonts w:ascii="Segoe UI" w:hAnsi="Segoe UI" w:cs="Segoe UI"/>
                  <w:color w:val="0000FF"/>
                  <w:lang w:val="en-IE"/>
                  <w14:ligatures w14:val="none"/>
                </w:rPr>
                <w:t>here</w:t>
              </w:r>
            </w:hyperlink>
            <w:r>
              <w:rPr>
                <w:rFonts w:ascii="Segoe UI" w:hAnsi="Segoe UI" w:cs="Segoe UI"/>
                <w:color w:val="000000"/>
                <w:lang w:val="en-IE"/>
                <w14:ligatures w14:val="none"/>
              </w:rPr>
              <w:t>.</w:t>
            </w:r>
          </w:p>
          <w:p w14:paraId="44D07D06" w14:textId="77777777" w:rsidR="004D270B" w:rsidRDefault="004D270B" w:rsidP="00CB6A28">
            <w:pPr>
              <w:spacing w:after="120"/>
              <w:ind w:right="301"/>
              <w:jc w:val="both"/>
              <w:rPr>
                <w:rFonts w:ascii="Segoe UI" w:hAnsi="Segoe UI" w:cs="Segoe UI"/>
                <w:u w:val="single"/>
                <w:lang w:val="en-IE"/>
                <w14:ligatures w14:val="none"/>
              </w:rPr>
            </w:pPr>
          </w:p>
          <w:p w14:paraId="0D592A25" w14:textId="77777777" w:rsidR="004D270B" w:rsidRDefault="004D270B" w:rsidP="00CB6A28">
            <w:pPr>
              <w:spacing w:after="120"/>
              <w:ind w:right="301"/>
              <w:jc w:val="both"/>
              <w:rPr>
                <w:rFonts w:ascii="Segoe UI" w:hAnsi="Segoe UI" w:cs="Segoe UI"/>
                <w:b/>
                <w:bCs/>
                <w:color w:val="0065A2"/>
                <w:lang w:val="en-IE"/>
                <w14:ligatures w14:val="none"/>
              </w:rPr>
            </w:pPr>
            <w:r>
              <w:rPr>
                <w:rFonts w:ascii="Segoe UI" w:hAnsi="Segoe UI" w:cs="Segoe UI"/>
                <w:b/>
                <w:bCs/>
                <w:color w:val="0065A2"/>
                <w:lang w:val="en-IE"/>
                <w14:ligatures w14:val="none"/>
              </w:rPr>
              <w:t xml:space="preserve">Eurofound: working for children matters: an overview of service delivery and workforce in </w:t>
            </w:r>
            <w:proofErr w:type="gramStart"/>
            <w:r>
              <w:rPr>
                <w:rFonts w:ascii="Segoe UI" w:hAnsi="Segoe UI" w:cs="Segoe UI"/>
                <w:b/>
                <w:bCs/>
                <w:color w:val="0065A2"/>
                <w:lang w:val="en-IE"/>
                <w14:ligatures w14:val="none"/>
              </w:rPr>
              <w:t>Europe</w:t>
            </w:r>
            <w:proofErr w:type="gramEnd"/>
          </w:p>
          <w:p w14:paraId="30B2948D" w14:textId="77777777" w:rsidR="004D270B" w:rsidRDefault="004D270B" w:rsidP="00CB6A28">
            <w:pPr>
              <w:spacing w:after="120"/>
              <w:ind w:right="301"/>
              <w:jc w:val="both"/>
              <w:rPr>
                <w:rFonts w:ascii="Segoe UI" w:hAnsi="Segoe UI" w:cs="Segoe UI"/>
                <w:lang w:val="en-IE"/>
                <w14:ligatures w14:val="none"/>
              </w:rPr>
            </w:pPr>
            <w:r>
              <w:rPr>
                <w:rFonts w:ascii="Segoe UI" w:hAnsi="Segoe UI" w:cs="Segoe UI"/>
                <w:color w:val="000000"/>
                <w:lang w:val="en-IE"/>
                <w14:ligatures w14:val="none"/>
              </w:rPr>
              <w:t xml:space="preserve">Labour shortages – often due to migration of healthcare workers – may undermine equitable access to healthcare services across the EU. This is having a particularly important impact on children, given that the percentage of children reporting </w:t>
            </w:r>
            <w:proofErr w:type="gramStart"/>
            <w:r>
              <w:rPr>
                <w:rFonts w:ascii="Segoe UI" w:hAnsi="Segoe UI" w:cs="Segoe UI"/>
                <w:color w:val="000000"/>
                <w:lang w:val="en-IE"/>
                <w14:ligatures w14:val="none"/>
              </w:rPr>
              <w:t>very good</w:t>
            </w:r>
            <w:proofErr w:type="gramEnd"/>
            <w:r>
              <w:rPr>
                <w:rFonts w:ascii="Segoe UI" w:hAnsi="Segoe UI" w:cs="Segoe UI"/>
                <w:color w:val="000000"/>
                <w:lang w:val="en-IE"/>
                <w14:ligatures w14:val="none"/>
              </w:rPr>
              <w:t xml:space="preserve"> health has decreased </w:t>
            </w:r>
            <w:proofErr w:type="gramStart"/>
            <w:r>
              <w:rPr>
                <w:rFonts w:ascii="Segoe UI" w:hAnsi="Segoe UI" w:cs="Segoe UI"/>
                <w:color w:val="000000"/>
                <w:lang w:val="en-IE"/>
                <w14:ligatures w14:val="none"/>
              </w:rPr>
              <w:t>substantially in</w:t>
            </w:r>
            <w:proofErr w:type="gramEnd"/>
            <w:r>
              <w:rPr>
                <w:rFonts w:ascii="Segoe UI" w:hAnsi="Segoe UI" w:cs="Segoe UI"/>
                <w:color w:val="000000"/>
                <w:lang w:val="en-IE"/>
                <w14:ligatures w14:val="none"/>
              </w:rPr>
              <w:t xml:space="preserve"> recent years.</w:t>
            </w:r>
          </w:p>
          <w:p w14:paraId="4DF9A729" w14:textId="77777777" w:rsidR="004D270B" w:rsidRDefault="004D270B" w:rsidP="00CB6A28">
            <w:pPr>
              <w:ind w:right="300"/>
              <w:jc w:val="both"/>
              <w:rPr>
                <w:rFonts w:ascii="Segoe UI" w:hAnsi="Segoe UI" w:cs="Segoe UI"/>
                <w:lang w:val="en-GB"/>
                <w14:ligatures w14:val="none"/>
              </w:rPr>
            </w:pPr>
            <w:r>
              <w:rPr>
                <w:rFonts w:ascii="Segoe UI" w:hAnsi="Segoe UI" w:cs="Segoe UI"/>
                <w:color w:val="000000"/>
                <w:lang w:val="en-IE"/>
                <w14:ligatures w14:val="none"/>
              </w:rPr>
              <w:t xml:space="preserve">This and </w:t>
            </w:r>
            <w:proofErr w:type="gramStart"/>
            <w:r>
              <w:rPr>
                <w:rFonts w:ascii="Segoe UI" w:hAnsi="Segoe UI" w:cs="Segoe UI"/>
                <w:color w:val="000000"/>
                <w:lang w:val="en-IE"/>
                <w14:ligatures w14:val="none"/>
              </w:rPr>
              <w:t>many</w:t>
            </w:r>
            <w:proofErr w:type="gramEnd"/>
            <w:r>
              <w:rPr>
                <w:rFonts w:ascii="Segoe UI" w:hAnsi="Segoe UI" w:cs="Segoe UI"/>
                <w:color w:val="000000"/>
                <w:lang w:val="en-IE"/>
                <w14:ligatures w14:val="none"/>
              </w:rPr>
              <w:t xml:space="preserve"> other findings, you will be able to further follow in this new Eurofound report, which </w:t>
            </w:r>
            <w:r>
              <w:rPr>
                <w:rFonts w:ascii="Segoe UI" w:hAnsi="Segoe UI" w:cs="Segoe UI"/>
                <w:color w:val="000000"/>
                <w:lang w:val="en-GB"/>
                <w14:ligatures w14:val="none"/>
              </w:rPr>
              <w:t xml:space="preserve">analyses trends and disparities in the accessibility of services for children that must </w:t>
            </w:r>
            <w:proofErr w:type="gramStart"/>
            <w:r>
              <w:rPr>
                <w:rFonts w:ascii="Segoe UI" w:hAnsi="Segoe UI" w:cs="Segoe UI"/>
                <w:color w:val="000000"/>
                <w:lang w:val="en-GB"/>
                <w14:ligatures w14:val="none"/>
              </w:rPr>
              <w:t>be addressed</w:t>
            </w:r>
            <w:proofErr w:type="gramEnd"/>
            <w:r>
              <w:rPr>
                <w:rFonts w:ascii="Segoe UI" w:hAnsi="Segoe UI" w:cs="Segoe UI"/>
                <w:color w:val="000000"/>
                <w:lang w:val="en-GB"/>
                <w14:ligatures w14:val="none"/>
              </w:rPr>
              <w:t xml:space="preserve"> to achieve this. Moreover, given that staff play an integral role in determining the quality and accessibility of these services, this report describes the state of play of staff working </w:t>
            </w:r>
            <w:r>
              <w:rPr>
                <w:rFonts w:ascii="Segoe UI" w:hAnsi="Segoe UI" w:cs="Segoe UI"/>
                <w:color w:val="000000"/>
                <w:lang w:val="en-GB"/>
                <w14:ligatures w14:val="none"/>
              </w:rPr>
              <w:lastRenderedPageBreak/>
              <w:t xml:space="preserve">conditions and training opportunities. Good working conditions and affordable high-quality services, such as early childhood education and care, also play a key role in encouraging labour market participation and increasing productivity. Read more </w:t>
            </w:r>
            <w:hyperlink r:id="rId27" w:anchor="overview" w:history="1">
              <w:r>
                <w:rPr>
                  <w:rStyle w:val="Hiperligao"/>
                  <w:rFonts w:ascii="Segoe UI" w:hAnsi="Segoe UI" w:cs="Segoe UI"/>
                  <w:color w:val="0000FF"/>
                  <w:lang w:val="en-GB"/>
                  <w14:ligatures w14:val="none"/>
                </w:rPr>
                <w:t>here</w:t>
              </w:r>
            </w:hyperlink>
            <w:r>
              <w:rPr>
                <w:rFonts w:ascii="Segoe UI" w:hAnsi="Segoe UI" w:cs="Segoe UI"/>
                <w:color w:val="000000"/>
                <w:lang w:val="en-GB"/>
                <w14:ligatures w14:val="none"/>
              </w:rPr>
              <w:t>.</w:t>
            </w:r>
          </w:p>
          <w:p w14:paraId="7D8EA3BC" w14:textId="77777777" w:rsidR="004D270B" w:rsidRDefault="004D270B" w:rsidP="00CB6A28">
            <w:pPr>
              <w:ind w:right="300"/>
              <w:jc w:val="both"/>
              <w:rPr>
                <w:rFonts w:ascii="Segoe UI" w:hAnsi="Segoe UI" w:cs="Segoe UI"/>
                <w:b/>
                <w:bCs/>
                <w:color w:val="0065A2"/>
                <w:lang w:val="en-IE"/>
                <w14:ligatures w14:val="none"/>
              </w:rPr>
            </w:pPr>
          </w:p>
          <w:p w14:paraId="642C6D50" w14:textId="77777777" w:rsidR="004D270B" w:rsidRDefault="004D270B" w:rsidP="00CB6A28">
            <w:pPr>
              <w:spacing w:after="120"/>
              <w:ind w:right="301"/>
              <w:jc w:val="both"/>
              <w:rPr>
                <w:rFonts w:ascii="Segoe UI" w:hAnsi="Segoe UI" w:cs="Segoe UI"/>
                <w:b/>
                <w:bCs/>
                <w:lang w:val="en-GB"/>
                <w14:ligatures w14:val="none"/>
              </w:rPr>
            </w:pPr>
            <w:r>
              <w:rPr>
                <w:rFonts w:ascii="Segoe UI" w:hAnsi="Segoe UI" w:cs="Segoe UI"/>
                <w:b/>
                <w:bCs/>
                <w:color w:val="0065A2"/>
                <w:lang w:val="en-IE"/>
                <w14:ligatures w14:val="none"/>
              </w:rPr>
              <w:t>Young people most affected by severe material and social deprivation in 2024 according to Eurostat</w:t>
            </w:r>
          </w:p>
          <w:p w14:paraId="176A8662" w14:textId="77777777" w:rsidR="004D270B" w:rsidRDefault="004D270B" w:rsidP="00CB6A28">
            <w:pPr>
              <w:spacing w:after="120"/>
              <w:ind w:right="301"/>
              <w:jc w:val="both"/>
              <w:rPr>
                <w:rFonts w:ascii="Segoe UI" w:hAnsi="Segoe UI" w:cs="Segoe UI"/>
                <w:lang w:val="en-GB"/>
                <w14:ligatures w14:val="none"/>
              </w:rPr>
            </w:pPr>
            <w:r>
              <w:rPr>
                <w:rFonts w:ascii="Segoe UI" w:hAnsi="Segoe UI" w:cs="Segoe UI"/>
                <w:color w:val="000000"/>
                <w:lang w:val="en-GB"/>
                <w14:ligatures w14:val="none"/>
              </w:rPr>
              <w:t xml:space="preserve">At EU27 level: “In 2024, 6.4% of people in the EU faced severe material and social deprivation, indicating a slight decrease compared with 2023 (6.8%). Young people under 18 were most affected by severe material and social deprivation (7.9%), followed by those aged 18 to 64 (6.4%), and those 65 and older (5.1%). Women had higher rates of severe material and social deprivation than men (6.6% compared with 6.2%). This pattern of higher rates for women was consistent across all observed age groups, except for those under the age of 18.” </w:t>
            </w:r>
          </w:p>
          <w:p w14:paraId="6CB21BCA" w14:textId="55DF8971" w:rsidR="004D270B" w:rsidRDefault="004D270B" w:rsidP="00CB6A28">
            <w:pPr>
              <w:ind w:right="300"/>
              <w:jc w:val="both"/>
              <w:rPr>
                <w:rFonts w:ascii="Segoe UI" w:hAnsi="Segoe UI" w:cs="Segoe UI"/>
                <w:b/>
                <w:bCs/>
                <w:lang w:val="en-GB"/>
                <w14:ligatures w14:val="none"/>
              </w:rPr>
            </w:pPr>
            <w:r>
              <w:rPr>
                <w:rFonts w:ascii="Segoe UI" w:hAnsi="Segoe UI" w:cs="Segoe UI"/>
                <w:b/>
                <w:bCs/>
                <w:noProof/>
                <w:color w:val="000000"/>
                <w:lang w:val="en-GB"/>
                <w14:ligatures w14:val="none"/>
              </w:rPr>
              <w:drawing>
                <wp:inline distT="0" distB="0" distL="0" distR="0" wp14:anchorId="5C815961" wp14:editId="0E2216CB">
                  <wp:extent cx="5400040" cy="2844800"/>
                  <wp:effectExtent l="0" t="0" r="0" b="0"/>
                  <wp:docPr id="512233785" name="Imagem 13"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 graph of different colored bars&#10;&#10;AI-generated content may be incorrect."/>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5400040" cy="2844800"/>
                          </a:xfrm>
                          <a:prstGeom prst="rect">
                            <a:avLst/>
                          </a:prstGeom>
                          <a:noFill/>
                          <a:ln>
                            <a:noFill/>
                          </a:ln>
                        </pic:spPr>
                      </pic:pic>
                    </a:graphicData>
                  </a:graphic>
                </wp:inline>
              </w:drawing>
            </w:r>
          </w:p>
          <w:p w14:paraId="07E10B73" w14:textId="77777777" w:rsidR="004D270B" w:rsidRDefault="004D270B" w:rsidP="00CB6A28">
            <w:pPr>
              <w:ind w:right="300"/>
              <w:jc w:val="both"/>
              <w:rPr>
                <w:rFonts w:ascii="Segoe UI" w:hAnsi="Segoe UI" w:cs="Segoe UI"/>
                <w:lang w:val="en-GB"/>
                <w14:ligatures w14:val="none"/>
              </w:rPr>
            </w:pPr>
            <w:r>
              <w:rPr>
                <w:rFonts w:ascii="Segoe UI" w:hAnsi="Segoe UI" w:cs="Segoe UI"/>
                <w:color w:val="000000"/>
                <w:lang w:val="en-GB"/>
                <w14:ligatures w14:val="none"/>
              </w:rPr>
              <w:t>At MS level: “Among EU countries, the highest share of people who faced severe material and social deprivation was recorded in Romania (17.2%), followed by Bulgaria (16.6%) and Greece (14.0%). By contrast, the lowest rates were recorded in Slovenia (1.8%), Croatia (2.0%) and Poland (2.3%).”</w:t>
            </w:r>
          </w:p>
          <w:p w14:paraId="5F80E004" w14:textId="77777777" w:rsidR="004D270B" w:rsidRDefault="004D270B" w:rsidP="00CB6A28">
            <w:pPr>
              <w:ind w:right="300"/>
              <w:jc w:val="both"/>
              <w:rPr>
                <w:rFonts w:ascii="Segoe UI" w:hAnsi="Segoe UI" w:cs="Segoe UI"/>
                <w:lang w:val="en-GB"/>
                <w14:ligatures w14:val="none"/>
              </w:rPr>
            </w:pPr>
            <w:r>
              <w:rPr>
                <w:rFonts w:ascii="Segoe UI" w:hAnsi="Segoe UI" w:cs="Segoe UI"/>
                <w:color w:val="000000"/>
                <w:lang w:val="en-GB"/>
                <w14:ligatures w14:val="none"/>
              </w:rPr>
              <w:t xml:space="preserve">More information see: </w:t>
            </w:r>
            <w:hyperlink r:id="rId30" w:history="1">
              <w:r>
                <w:rPr>
                  <w:rStyle w:val="Hiperligao"/>
                  <w:rFonts w:ascii="Segoe UI" w:hAnsi="Segoe UI" w:cs="Segoe UI"/>
                  <w:color w:val="0000FF"/>
                  <w:lang w:val="en-IE"/>
                  <w14:ligatures w14:val="none"/>
                </w:rPr>
                <w:t>Severe material &amp; social deprivation rate in EU: 6.4% - News articles - Eurostat</w:t>
              </w:r>
            </w:hyperlink>
            <w:r>
              <w:rPr>
                <w:rFonts w:ascii="Segoe UI" w:hAnsi="Segoe UI" w:cs="Segoe UI"/>
                <w:color w:val="000000"/>
                <w:lang w:val="en-GB"/>
                <w14:ligatures w14:val="none"/>
              </w:rPr>
              <w:t>.</w:t>
            </w:r>
          </w:p>
          <w:p w14:paraId="6E1EDDDB" w14:textId="77777777" w:rsidR="004D270B" w:rsidRDefault="004D270B" w:rsidP="00CB6A28">
            <w:pPr>
              <w:ind w:right="300"/>
              <w:jc w:val="both"/>
              <w:rPr>
                <w:rFonts w:ascii="Segoe UI" w:hAnsi="Segoe UI" w:cs="Segoe UI"/>
                <w:b/>
                <w:bCs/>
                <w:color w:val="0065A2"/>
                <w:lang w:val="en-GB"/>
                <w14:ligatures w14:val="none"/>
              </w:rPr>
            </w:pPr>
          </w:p>
          <w:p w14:paraId="313203AF" w14:textId="77777777" w:rsidR="004D270B" w:rsidRDefault="004D270B" w:rsidP="00CB6A28">
            <w:pPr>
              <w:ind w:right="300"/>
              <w:jc w:val="both"/>
              <w:rPr>
                <w:rFonts w:ascii="Segoe UI" w:hAnsi="Segoe UI" w:cs="Segoe UI"/>
                <w:lang w:val="en-GB"/>
                <w14:ligatures w14:val="none"/>
              </w:rPr>
            </w:pPr>
          </w:p>
          <w:p w14:paraId="66C4246B" w14:textId="77777777" w:rsidR="004D270B" w:rsidRDefault="004D270B" w:rsidP="00CB6A28">
            <w:pPr>
              <w:ind w:right="300"/>
              <w:jc w:val="both"/>
              <w:rPr>
                <w:rFonts w:ascii="Segoe UI" w:hAnsi="Segoe UI" w:cs="Segoe UI"/>
                <w:lang w:val="en-GB"/>
                <w14:ligatures w14:val="none"/>
              </w:rPr>
            </w:pPr>
            <w:r>
              <w:rPr>
                <w:rFonts w:ascii="Segoe UI" w:hAnsi="Segoe UI" w:cs="Segoe UI"/>
                <w:color w:val="000000"/>
                <w:lang w:val="en-GB"/>
                <w14:ligatures w14:val="none"/>
              </w:rPr>
              <w:t xml:space="preserve">To subscribe to the Newsletter, please contact us at: </w:t>
            </w:r>
          </w:p>
          <w:p w14:paraId="0DB60087" w14:textId="77777777" w:rsidR="004D270B" w:rsidRDefault="004D270B" w:rsidP="00CB6A28">
            <w:pPr>
              <w:ind w:right="300"/>
              <w:jc w:val="both"/>
              <w:rPr>
                <w:rFonts w:ascii="Segoe UI" w:hAnsi="Segoe UI" w:cs="Segoe UI"/>
                <w:b/>
                <w:bCs/>
                <w:color w:val="0065A2"/>
                <w:lang w:val="en-GB"/>
                <w14:ligatures w14:val="none"/>
              </w:rPr>
            </w:pPr>
            <w:hyperlink r:id="rId31" w:history="1">
              <w:r>
                <w:rPr>
                  <w:rStyle w:val="Hiperligao"/>
                  <w:rFonts w:ascii="Segoe UI" w:hAnsi="Segoe UI" w:cs="Segoe UI"/>
                  <w:lang w:val="en-GB"/>
                  <w14:ligatures w14:val="none"/>
                </w:rPr>
                <w:t>EMPL-CHILD-GUARANTEE@ec.europa.eu</w:t>
              </w:r>
            </w:hyperlink>
          </w:p>
        </w:tc>
      </w:tr>
    </w:tbl>
    <w:p w14:paraId="164F993A" w14:textId="77777777" w:rsidR="004D270B" w:rsidRPr="004D270B" w:rsidRDefault="004D270B">
      <w:pPr>
        <w:rPr>
          <w:lang w:val="en-GB"/>
        </w:rPr>
      </w:pPr>
    </w:p>
    <w:sectPr w:rsidR="004D270B" w:rsidRPr="004D270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ED85" w14:textId="77777777" w:rsidR="00DB6AB6" w:rsidRDefault="00DB6AB6" w:rsidP="00DB6AB6">
      <w:r>
        <w:separator/>
      </w:r>
    </w:p>
  </w:endnote>
  <w:endnote w:type="continuationSeparator" w:id="0">
    <w:p w14:paraId="36BEB748" w14:textId="77777777" w:rsidR="00DB6AB6" w:rsidRDefault="00DB6AB6" w:rsidP="00DB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35D4" w14:textId="77777777" w:rsidR="00DB6AB6" w:rsidRDefault="00DB6AB6" w:rsidP="00DB6AB6">
      <w:r>
        <w:separator/>
      </w:r>
    </w:p>
  </w:footnote>
  <w:footnote w:type="continuationSeparator" w:id="0">
    <w:p w14:paraId="594FB063" w14:textId="77777777" w:rsidR="00DB6AB6" w:rsidRDefault="00DB6AB6" w:rsidP="00DB6AB6">
      <w:r>
        <w:continuationSeparator/>
      </w:r>
    </w:p>
  </w:footnote>
  <w:footnote w:id="1">
    <w:p w14:paraId="6226354F" w14:textId="77777777" w:rsidR="00DB6AB6" w:rsidRDefault="00DB6AB6" w:rsidP="00DB6AB6">
      <w:pPr>
        <w:pStyle w:val="Textodenotaderodap"/>
        <w:rPr>
          <w:lang w:val="en-GB"/>
        </w:rPr>
      </w:pPr>
      <w:r>
        <w:rPr>
          <w:rStyle w:val="Refdenotaderodap"/>
          <w:lang w:val="fr-BE"/>
        </w:rPr>
        <w:t>[1]</w:t>
      </w:r>
      <w:r>
        <w:rPr>
          <w:lang w:val="fr-BE"/>
        </w:rPr>
        <w:t xml:space="preserve"> </w:t>
      </w:r>
      <w:r>
        <w:rPr>
          <w:lang w:val="en-GB"/>
        </w:rPr>
        <w:t>Designation without prejudice to positions on status, and is in line with UNSCR 1244/1999 and the ICJ Opinion on the Kosovo declaration of independence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B6"/>
    <w:rsid w:val="000A5340"/>
    <w:rsid w:val="00143A4F"/>
    <w:rsid w:val="004D270B"/>
    <w:rsid w:val="009A4F01"/>
    <w:rsid w:val="00DB6AB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FA60EA"/>
  <w15:chartTrackingRefBased/>
  <w15:docId w15:val="{DC225BC9-4969-4E94-8687-C82B6563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AB6"/>
    <w:pPr>
      <w:spacing w:after="0" w:line="240" w:lineRule="auto"/>
    </w:pPr>
    <w:rPr>
      <w:rFonts w:ascii="Aptos" w:hAnsi="Aptos" w:cs="Aptos"/>
      <w:kern w:val="0"/>
      <w:sz w:val="22"/>
      <w:szCs w:val="22"/>
    </w:rPr>
  </w:style>
  <w:style w:type="paragraph" w:styleId="Ttulo1">
    <w:name w:val="heading 1"/>
    <w:basedOn w:val="Normal"/>
    <w:next w:val="Normal"/>
    <w:link w:val="Ttulo1Carter"/>
    <w:uiPriority w:val="9"/>
    <w:qFormat/>
    <w:rsid w:val="00DB6A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Ttulo2">
    <w:name w:val="heading 2"/>
    <w:basedOn w:val="Normal"/>
    <w:next w:val="Normal"/>
    <w:link w:val="Ttulo2Carter"/>
    <w:uiPriority w:val="9"/>
    <w:semiHidden/>
    <w:unhideWhenUsed/>
    <w:qFormat/>
    <w:rsid w:val="00DB6A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Ttulo3">
    <w:name w:val="heading 3"/>
    <w:basedOn w:val="Normal"/>
    <w:next w:val="Normal"/>
    <w:link w:val="Ttulo3Carter"/>
    <w:uiPriority w:val="9"/>
    <w:semiHidden/>
    <w:unhideWhenUsed/>
    <w:qFormat/>
    <w:rsid w:val="00DB6A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Ttulo4">
    <w:name w:val="heading 4"/>
    <w:basedOn w:val="Normal"/>
    <w:next w:val="Normal"/>
    <w:link w:val="Ttulo4Carter"/>
    <w:uiPriority w:val="9"/>
    <w:semiHidden/>
    <w:unhideWhenUsed/>
    <w:qFormat/>
    <w:rsid w:val="00DB6AB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Ttulo5">
    <w:name w:val="heading 5"/>
    <w:basedOn w:val="Normal"/>
    <w:next w:val="Normal"/>
    <w:link w:val="Ttulo5Carter"/>
    <w:uiPriority w:val="9"/>
    <w:semiHidden/>
    <w:unhideWhenUsed/>
    <w:qFormat/>
    <w:rsid w:val="00DB6AB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Ttulo6">
    <w:name w:val="heading 6"/>
    <w:basedOn w:val="Normal"/>
    <w:next w:val="Normal"/>
    <w:link w:val="Ttulo6Carter"/>
    <w:uiPriority w:val="9"/>
    <w:semiHidden/>
    <w:unhideWhenUsed/>
    <w:qFormat/>
    <w:rsid w:val="00DB6AB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Ttulo7">
    <w:name w:val="heading 7"/>
    <w:basedOn w:val="Normal"/>
    <w:next w:val="Normal"/>
    <w:link w:val="Ttulo7Carter"/>
    <w:uiPriority w:val="9"/>
    <w:semiHidden/>
    <w:unhideWhenUsed/>
    <w:qFormat/>
    <w:rsid w:val="00DB6AB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Ttulo8">
    <w:name w:val="heading 8"/>
    <w:basedOn w:val="Normal"/>
    <w:next w:val="Normal"/>
    <w:link w:val="Ttulo8Carter"/>
    <w:uiPriority w:val="9"/>
    <w:semiHidden/>
    <w:unhideWhenUsed/>
    <w:qFormat/>
    <w:rsid w:val="00DB6AB6"/>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Ttulo9">
    <w:name w:val="heading 9"/>
    <w:basedOn w:val="Normal"/>
    <w:next w:val="Normal"/>
    <w:link w:val="Ttulo9Carter"/>
    <w:uiPriority w:val="9"/>
    <w:semiHidden/>
    <w:unhideWhenUsed/>
    <w:qFormat/>
    <w:rsid w:val="00DB6AB6"/>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B6AB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B6AB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B6AB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B6AB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B6AB6"/>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B6AB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B6AB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B6AB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B6AB6"/>
    <w:rPr>
      <w:rFonts w:eastAsiaTheme="majorEastAsia" w:cstheme="majorBidi"/>
      <w:color w:val="272727" w:themeColor="text1" w:themeTint="D8"/>
    </w:rPr>
  </w:style>
  <w:style w:type="paragraph" w:styleId="Ttulo">
    <w:name w:val="Title"/>
    <w:basedOn w:val="Normal"/>
    <w:next w:val="Normal"/>
    <w:link w:val="TtuloCarter"/>
    <w:uiPriority w:val="10"/>
    <w:qFormat/>
    <w:rsid w:val="00DB6AB6"/>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B6A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B6A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tuloCarter">
    <w:name w:val="Subtítulo Caráter"/>
    <w:basedOn w:val="Tipodeletrapredefinidodopargrafo"/>
    <w:link w:val="Subttulo"/>
    <w:uiPriority w:val="11"/>
    <w:rsid w:val="00DB6AB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B6AB6"/>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CitaoCarter">
    <w:name w:val="Citação Caráter"/>
    <w:basedOn w:val="Tipodeletrapredefinidodopargrafo"/>
    <w:link w:val="Citao"/>
    <w:uiPriority w:val="29"/>
    <w:rsid w:val="00DB6AB6"/>
    <w:rPr>
      <w:i/>
      <w:iCs/>
      <w:color w:val="404040" w:themeColor="text1" w:themeTint="BF"/>
    </w:rPr>
  </w:style>
  <w:style w:type="paragraph" w:styleId="PargrafodaLista">
    <w:name w:val="List Paragraph"/>
    <w:basedOn w:val="Normal"/>
    <w:uiPriority w:val="34"/>
    <w:qFormat/>
    <w:rsid w:val="00DB6AB6"/>
    <w:pPr>
      <w:spacing w:after="160" w:line="278" w:lineRule="auto"/>
      <w:ind w:left="720"/>
      <w:contextualSpacing/>
    </w:pPr>
    <w:rPr>
      <w:rFonts w:asciiTheme="minorHAnsi" w:hAnsiTheme="minorHAnsi" w:cstheme="minorBidi"/>
      <w:kern w:val="2"/>
      <w:sz w:val="24"/>
      <w:szCs w:val="24"/>
    </w:rPr>
  </w:style>
  <w:style w:type="character" w:styleId="nfaseIntensa">
    <w:name w:val="Intense Emphasis"/>
    <w:basedOn w:val="Tipodeletrapredefinidodopargrafo"/>
    <w:uiPriority w:val="21"/>
    <w:qFormat/>
    <w:rsid w:val="00DB6AB6"/>
    <w:rPr>
      <w:i/>
      <w:iCs/>
      <w:color w:val="0F4761" w:themeColor="accent1" w:themeShade="BF"/>
    </w:rPr>
  </w:style>
  <w:style w:type="paragraph" w:styleId="CitaoIntensa">
    <w:name w:val="Intense Quote"/>
    <w:basedOn w:val="Normal"/>
    <w:next w:val="Normal"/>
    <w:link w:val="CitaoIntensaCarter"/>
    <w:uiPriority w:val="30"/>
    <w:qFormat/>
    <w:rsid w:val="00DB6A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CitaoIntensaCarter">
    <w:name w:val="Citação Intensa Caráter"/>
    <w:basedOn w:val="Tipodeletrapredefinidodopargrafo"/>
    <w:link w:val="CitaoIntensa"/>
    <w:uiPriority w:val="30"/>
    <w:rsid w:val="00DB6AB6"/>
    <w:rPr>
      <w:i/>
      <w:iCs/>
      <w:color w:val="0F4761" w:themeColor="accent1" w:themeShade="BF"/>
    </w:rPr>
  </w:style>
  <w:style w:type="character" w:styleId="RefernciaIntensa">
    <w:name w:val="Intense Reference"/>
    <w:basedOn w:val="Tipodeletrapredefinidodopargrafo"/>
    <w:uiPriority w:val="32"/>
    <w:qFormat/>
    <w:rsid w:val="00DB6AB6"/>
    <w:rPr>
      <w:b/>
      <w:bCs/>
      <w:smallCaps/>
      <w:color w:val="0F4761" w:themeColor="accent1" w:themeShade="BF"/>
      <w:spacing w:val="5"/>
    </w:rPr>
  </w:style>
  <w:style w:type="character" w:styleId="Hiperligao">
    <w:name w:val="Hyperlink"/>
    <w:basedOn w:val="Tipodeletrapredefinidodopargrafo"/>
    <w:uiPriority w:val="99"/>
    <w:semiHidden/>
    <w:unhideWhenUsed/>
    <w:rsid w:val="00DB6AB6"/>
    <w:rPr>
      <w:color w:val="467886"/>
      <w:u w:val="single"/>
    </w:rPr>
  </w:style>
  <w:style w:type="paragraph" w:styleId="Textodenotaderodap">
    <w:name w:val="footnote text"/>
    <w:basedOn w:val="Normal"/>
    <w:link w:val="TextodenotaderodapCarter"/>
    <w:uiPriority w:val="99"/>
    <w:semiHidden/>
    <w:unhideWhenUsed/>
    <w:rsid w:val="00DB6AB6"/>
    <w:rPr>
      <w:sz w:val="20"/>
      <w:szCs w:val="20"/>
    </w:rPr>
  </w:style>
  <w:style w:type="character" w:customStyle="1" w:styleId="TextodenotaderodapCarter">
    <w:name w:val="Texto de nota de rodapé Caráter"/>
    <w:basedOn w:val="Tipodeletrapredefinidodopargrafo"/>
    <w:link w:val="Textodenotaderodap"/>
    <w:uiPriority w:val="99"/>
    <w:semiHidden/>
    <w:rsid w:val="00DB6AB6"/>
    <w:rPr>
      <w:rFonts w:ascii="Aptos" w:hAnsi="Aptos" w:cs="Aptos"/>
      <w:kern w:val="0"/>
      <w:sz w:val="20"/>
      <w:szCs w:val="20"/>
    </w:rPr>
  </w:style>
  <w:style w:type="character" w:styleId="Refdenotaderodap">
    <w:name w:val="footnote reference"/>
    <w:basedOn w:val="Tipodeletrapredefinidodopargrafo"/>
    <w:uiPriority w:val="99"/>
    <w:semiHidden/>
    <w:unhideWhenUsed/>
    <w:rsid w:val="00DB6A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ecd.org/content/dam/oecd/en/publications/reports/2022/11/the-economic-costs-of-childhood-socio-economic-disadvantage-in-european-oecd-countries_0eb93d34/8c0c66b9-en.pdf" TargetMode="External"/><Relationship Id="rId18" Type="http://schemas.openxmlformats.org/officeDocument/2006/relationships/hyperlink" Target="https://eu-for-children.europa.eu/eu-childrens-participation-platform_en" TargetMode="External"/><Relationship Id="rId26" Type="http://schemas.openxmlformats.org/officeDocument/2006/relationships/hyperlink" Target="https://eurochild.org/resource/2025-european-semester-spring-package/" TargetMode="External"/><Relationship Id="rId3" Type="http://schemas.openxmlformats.org/officeDocument/2006/relationships/webSettings" Target="webSettings.xml"/><Relationship Id="rId21" Type="http://schemas.openxmlformats.org/officeDocument/2006/relationships/image" Target="media/image3.jpeg"/><Relationship Id="rId7" Type="http://schemas.openxmlformats.org/officeDocument/2006/relationships/image" Target="cid:image001.png@01DC4FC1.DBD230A0" TargetMode="External"/><Relationship Id="rId12" Type="http://schemas.openxmlformats.org/officeDocument/2006/relationships/hyperlink" Target="https://www.unicef.org/world-childrens-day" TargetMode="External"/><Relationship Id="rId17" Type="http://schemas.openxmlformats.org/officeDocument/2006/relationships/hyperlink" Target="https://horizons.confirmit.eu/wix/p322366389313.aspx" TargetMode="External"/><Relationship Id="rId25" Type="http://schemas.openxmlformats.org/officeDocument/2006/relationships/hyperlink" Target="https://www.sos-childrensvillages.org/getmedia/a2b7b62e-b979-4a53-ba44-27514df423fb/Global-Report-on-Childrens-Care-and-Protection-2024.pd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mployment-social-affairs.ec.europa.eu/policies-and-activities/social-protection-social-inclusion/addressing-poverty-and-supporting-social-inclusion/investing-children/european-child-guarantee_en" TargetMode="External"/><Relationship Id="rId20" Type="http://schemas.openxmlformats.org/officeDocument/2006/relationships/hyperlink" Target="https://employment-social-affairs.ec.europa.eu/policies-and-activities/social-protection-social-inclusion/social-protection-committee/peer-reviews_en" TargetMode="External"/><Relationship Id="rId29" Type="http://schemas.openxmlformats.org/officeDocument/2006/relationships/image" Target="cid:image007.png@01DC4FC1.DBD230A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commission.europa.eu/document/e6cd4328-673c-4e7a-8683-f63ffb2cf648_en" TargetMode="External"/><Relationship Id="rId24" Type="http://schemas.openxmlformats.org/officeDocument/2006/relationships/hyperlink" Target="https://resourcecentre.savethechildren.net/document/child-poverty-the-cost-europe-cannot-afford-2025"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horizons.confirmit.eu/wix/p322366389313.aspx" TargetMode="External"/><Relationship Id="rId23" Type="http://schemas.openxmlformats.org/officeDocument/2006/relationships/image" Target="media/image4.png"/><Relationship Id="rId28" Type="http://schemas.openxmlformats.org/officeDocument/2006/relationships/image" Target="media/image5.png"/><Relationship Id="rId10" Type="http://schemas.openxmlformats.org/officeDocument/2006/relationships/hyperlink" Target="https://commission.europa.eu/strategy-and-policy/strategy-documents/commission-work-programme/commission-work-programme-2026_en" TargetMode="External"/><Relationship Id="rId19" Type="http://schemas.openxmlformats.org/officeDocument/2006/relationships/hyperlink" Target="https://employment-social-affairs.ec.europa.eu/policies-and-activities/social-protection-social-inclusion/addressing-poverty-and-supporting-social-inclusion_en" TargetMode="External"/><Relationship Id="rId31" Type="http://schemas.openxmlformats.org/officeDocument/2006/relationships/hyperlink" Target="mailto:EMPL-CHILD-GUARANTEE@ec.europa.eu" TargetMode="External"/><Relationship Id="rId4" Type="http://schemas.openxmlformats.org/officeDocument/2006/relationships/footnotes" Target="footnotes.xml"/><Relationship Id="rId9" Type="http://schemas.openxmlformats.org/officeDocument/2006/relationships/image" Target="cid:image002.gif@01DC4FC1.DBD230A0" TargetMode="External"/><Relationship Id="rId14" Type="http://schemas.openxmlformats.org/officeDocument/2006/relationships/hyperlink" Target="https://commission.europa.eu/publications/2026-commission-work-programme-and-annexes_en" TargetMode="External"/><Relationship Id="rId22" Type="http://schemas.openxmlformats.org/officeDocument/2006/relationships/hyperlink" Target="https://urldefense.com/v3/__https:/coface-eu.org/event/european-peer-exchange-focus-the-house-of-the-child-in-belgium/__;!!DOxrgLBm!CimrbDD2ERsgPgn7-H5F9hj4NtG-atCjeQKnpP9SyXzdQPLx0HYtDmSKNLu9kkXCAChUwbOE1Ad2hjDbRjSGcZponQ8c$" TargetMode="External"/><Relationship Id="rId27" Type="http://schemas.openxmlformats.org/officeDocument/2006/relationships/hyperlink" Target="https://www.eurofound.europa.eu/en/publications/all/working-children-matters-overview-service-delivery-and-workforce-europe" TargetMode="External"/><Relationship Id="rId30" Type="http://schemas.openxmlformats.org/officeDocument/2006/relationships/hyperlink" Target="https://ec.europa.eu/eurostat/en/web/products-eurostat-news/w/ddn-20250915-1" TargetMode="External"/><Relationship Id="rId8"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1766</Words>
  <Characters>10006</Characters>
  <Application>Microsoft Office Word</Application>
  <DocSecurity>0</DocSecurity>
  <Lines>210</Lines>
  <Paragraphs>45</Paragraphs>
  <ScaleCrop>false</ScaleCrop>
  <HeadingPairs>
    <vt:vector size="2" baseType="variant">
      <vt:variant>
        <vt:lpstr>Título</vt:lpstr>
      </vt:variant>
      <vt:variant>
        <vt:i4>1</vt:i4>
      </vt:variant>
    </vt:vector>
  </HeadingPairs>
  <TitlesOfParts>
    <vt:vector size="1" baseType="lpstr">
      <vt:lpstr/>
    </vt:vector>
  </TitlesOfParts>
  <Company>eSocial</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Carla.S.Santos</dc:creator>
  <cp:keywords/>
  <dc:description/>
  <cp:lastModifiedBy>Carla.S.Santos</cp:lastModifiedBy>
  <cp:revision>1</cp:revision>
  <dcterms:created xsi:type="dcterms:W3CDTF">2025-11-12T14:19:00Z</dcterms:created>
  <dcterms:modified xsi:type="dcterms:W3CDTF">2025-11-12T14:42:00Z</dcterms:modified>
</cp:coreProperties>
</file>